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bottomFromText="160" w:vertAnchor="text" w:horzAnchor="margin" w:tblpY="436"/>
        <w:tblW w:w="0" w:type="auto"/>
        <w:tblBorders>
          <w:top w:val="single" w:sz="12" w:space="0" w:color="FF6600"/>
          <w:left w:val="single" w:sz="12" w:space="0" w:color="FF6600"/>
          <w:bottom w:val="single" w:sz="4" w:space="0" w:color="auto"/>
          <w:right w:val="single" w:sz="12" w:space="0" w:color="FF6600"/>
        </w:tblBorders>
        <w:tblLook w:val="04A0" w:firstRow="1" w:lastRow="0" w:firstColumn="1" w:lastColumn="0" w:noHBand="0" w:noVBand="1"/>
      </w:tblPr>
      <w:tblGrid>
        <w:gridCol w:w="1125"/>
        <w:gridCol w:w="7206"/>
        <w:gridCol w:w="999"/>
      </w:tblGrid>
      <w:tr w:rsidR="008B1EDC" w:rsidTr="008B1EDC">
        <w:trPr>
          <w:trHeight w:val="3242"/>
        </w:trPr>
        <w:tc>
          <w:tcPr>
            <w:tcW w:w="1293" w:type="dxa"/>
            <w:tcBorders>
              <w:top w:val="single" w:sz="12" w:space="0" w:color="FF6600"/>
              <w:left w:val="single" w:sz="12" w:space="0" w:color="FF6600"/>
              <w:bottom w:val="nil"/>
              <w:right w:val="nil"/>
            </w:tcBorders>
          </w:tcPr>
          <w:p w:rsidR="008B1EDC" w:rsidRDefault="008B1EDC">
            <w:pPr>
              <w:spacing w:line="36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7192" w:type="dxa"/>
            <w:tcBorders>
              <w:top w:val="single" w:sz="12" w:space="0" w:color="FF6600"/>
              <w:left w:val="nil"/>
              <w:bottom w:val="nil"/>
              <w:right w:val="nil"/>
            </w:tcBorders>
          </w:tcPr>
          <w:p w:rsidR="008B1EDC" w:rsidRDefault="008B1EDC">
            <w:pPr>
              <w:spacing w:line="360" w:lineRule="auto"/>
              <w:rPr>
                <w:rFonts w:cs="Arial"/>
                <w:b/>
                <w:sz w:val="40"/>
                <w:szCs w:val="40"/>
              </w:rPr>
            </w:pPr>
            <w:r>
              <w:rPr>
                <w:rFonts w:cs="Arial"/>
                <w:b/>
                <w:sz w:val="40"/>
                <w:szCs w:val="40"/>
              </w:rPr>
              <w:t xml:space="preserve">         BA-PHALABORWA MUNICIPALITY  </w:t>
            </w:r>
          </w:p>
          <w:p w:rsidR="008B1EDC" w:rsidRDefault="008B1EDC">
            <w:pPr>
              <w:spacing w:line="360" w:lineRule="auto"/>
              <w:jc w:val="center"/>
              <w:rPr>
                <w:rFonts w:cs="Arial"/>
                <w:b/>
                <w:noProof/>
                <w:lang w:val="en-ZA" w:eastAsia="en-ZA"/>
              </w:rPr>
            </w:pPr>
          </w:p>
          <w:p w:rsidR="008B1EDC" w:rsidRDefault="008B1EDC">
            <w:pPr>
              <w:spacing w:line="360" w:lineRule="auto"/>
              <w:jc w:val="center"/>
              <w:rPr>
                <w:rFonts w:cs="Arial"/>
                <w:b/>
                <w:noProof/>
                <w:lang w:val="en-ZA" w:eastAsia="en-ZA"/>
              </w:rPr>
            </w:pPr>
          </w:p>
          <w:p w:rsidR="008B1EDC" w:rsidRDefault="008B1EDC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</w:rPr>
              <w:drawing>
                <wp:inline distT="0" distB="0" distL="0" distR="0">
                  <wp:extent cx="4429125" cy="31813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4" w:type="dxa"/>
            <w:tcBorders>
              <w:top w:val="single" w:sz="12" w:space="0" w:color="FF6600"/>
              <w:left w:val="nil"/>
              <w:bottom w:val="nil"/>
              <w:right w:val="single" w:sz="12" w:space="0" w:color="FF6600"/>
            </w:tcBorders>
          </w:tcPr>
          <w:p w:rsidR="008B1EDC" w:rsidRDefault="008B1EDC">
            <w:pPr>
              <w:spacing w:line="360" w:lineRule="auto"/>
              <w:jc w:val="center"/>
              <w:rPr>
                <w:rFonts w:cs="Arial"/>
                <w:b/>
              </w:rPr>
            </w:pPr>
          </w:p>
        </w:tc>
      </w:tr>
      <w:tr w:rsidR="008B1EDC" w:rsidTr="008B1EDC">
        <w:tc>
          <w:tcPr>
            <w:tcW w:w="1293" w:type="dxa"/>
            <w:tcBorders>
              <w:top w:val="nil"/>
              <w:left w:val="single" w:sz="12" w:space="0" w:color="FF6600"/>
              <w:bottom w:val="nil"/>
              <w:right w:val="nil"/>
            </w:tcBorders>
          </w:tcPr>
          <w:p w:rsidR="008B1EDC" w:rsidRDefault="008B1EDC">
            <w:pPr>
              <w:spacing w:line="36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7192" w:type="dxa"/>
            <w:tcBorders>
              <w:top w:val="nil"/>
              <w:left w:val="nil"/>
              <w:bottom w:val="nil"/>
              <w:right w:val="nil"/>
            </w:tcBorders>
          </w:tcPr>
          <w:p w:rsidR="008B1EDC" w:rsidRDefault="008B1EDC">
            <w:pPr>
              <w:spacing w:line="360" w:lineRule="auto"/>
              <w:jc w:val="center"/>
              <w:rPr>
                <w:rFonts w:cs="Arial"/>
                <w:b/>
              </w:rPr>
            </w:pPr>
          </w:p>
          <w:p w:rsidR="008B1EDC" w:rsidRDefault="008B1EDC">
            <w:pPr>
              <w:spacing w:line="360" w:lineRule="auto"/>
              <w:jc w:val="center"/>
              <w:rPr>
                <w:rFonts w:cs="Arial"/>
                <w:b/>
              </w:rPr>
            </w:pPr>
          </w:p>
          <w:p w:rsidR="008B1EDC" w:rsidRDefault="008B1EDC">
            <w:pPr>
              <w:spacing w:line="360" w:lineRule="auto"/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 xml:space="preserve"> TARIFF</w:t>
            </w:r>
            <w:r>
              <w:rPr>
                <w:rFonts w:cs="Arial"/>
                <w:b/>
                <w:sz w:val="32"/>
                <w:szCs w:val="32"/>
              </w:rPr>
              <w:t xml:space="preserve"> BY-LAW </w:t>
            </w:r>
          </w:p>
          <w:p w:rsidR="008B1EDC" w:rsidRDefault="008B1EDC">
            <w:pPr>
              <w:spacing w:line="360" w:lineRule="auto"/>
              <w:jc w:val="center"/>
              <w:rPr>
                <w:rFonts w:cs="Arial"/>
                <w:b/>
                <w:sz w:val="32"/>
                <w:szCs w:val="32"/>
              </w:rPr>
            </w:pPr>
            <w:r>
              <w:rPr>
                <w:rFonts w:cs="Arial"/>
                <w:b/>
                <w:sz w:val="32"/>
                <w:szCs w:val="32"/>
              </w:rPr>
              <w:t>DRAFT REVIEW</w:t>
            </w:r>
          </w:p>
          <w:p w:rsidR="008B1EDC" w:rsidRDefault="008B1EDC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sz w:val="32"/>
                <w:szCs w:val="32"/>
              </w:rPr>
              <w:t>2018/19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12" w:space="0" w:color="FF6600"/>
            </w:tcBorders>
          </w:tcPr>
          <w:p w:rsidR="008B1EDC" w:rsidRDefault="008B1EDC">
            <w:pPr>
              <w:spacing w:line="360" w:lineRule="auto"/>
              <w:jc w:val="center"/>
              <w:rPr>
                <w:rFonts w:cs="Arial"/>
                <w:b/>
              </w:rPr>
            </w:pPr>
          </w:p>
        </w:tc>
      </w:tr>
      <w:tr w:rsidR="008B1EDC" w:rsidTr="008B1EDC">
        <w:trPr>
          <w:trHeight w:val="1048"/>
        </w:trPr>
        <w:tc>
          <w:tcPr>
            <w:tcW w:w="1293" w:type="dxa"/>
            <w:tcBorders>
              <w:top w:val="nil"/>
              <w:left w:val="single" w:sz="12" w:space="0" w:color="FF6600"/>
              <w:bottom w:val="single" w:sz="4" w:space="0" w:color="auto"/>
              <w:right w:val="nil"/>
            </w:tcBorders>
          </w:tcPr>
          <w:p w:rsidR="008B1EDC" w:rsidRDefault="008B1EDC">
            <w:pPr>
              <w:spacing w:line="36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71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B1EDC" w:rsidRDefault="008B1EDC">
            <w:pPr>
              <w:spacing w:line="36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12" w:space="0" w:color="FF6600"/>
            </w:tcBorders>
          </w:tcPr>
          <w:p w:rsidR="008B1EDC" w:rsidRDefault="008B1EDC">
            <w:pPr>
              <w:spacing w:line="360" w:lineRule="auto"/>
              <w:jc w:val="center"/>
              <w:rPr>
                <w:rFonts w:cs="Arial"/>
                <w:b/>
              </w:rPr>
            </w:pPr>
          </w:p>
        </w:tc>
      </w:tr>
    </w:tbl>
    <w:p w:rsidR="008B1EDC" w:rsidRDefault="008B1EDC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BF6ABF" w:rsidRDefault="00BF6ABF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bookmarkStart w:id="0" w:name="_GoBack"/>
      <w:bookmarkEnd w:id="0"/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TARIFF BY-LAW</w:t>
      </w:r>
    </w:p>
    <w:p w:rsidR="00BF6ABF" w:rsidRDefault="00BF6ABF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BF6ABF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To give effect to the implementation of the </w:t>
      </w:r>
      <w:r w:rsidR="00823FBE">
        <w:rPr>
          <w:rFonts w:ascii="Arial" w:hAnsi="Arial" w:cs="Arial"/>
          <w:color w:val="000000"/>
          <w:sz w:val="20"/>
          <w:szCs w:val="20"/>
        </w:rPr>
        <w:t xml:space="preserve">Ba-Phalaborwa </w:t>
      </w:r>
      <w:r>
        <w:rPr>
          <w:rFonts w:ascii="Arial" w:hAnsi="Arial" w:cs="Arial"/>
          <w:color w:val="000000"/>
          <w:sz w:val="20"/>
          <w:szCs w:val="20"/>
        </w:rPr>
        <w:t>Municipality’s individual tariff policies and to provide for matters incidental thereto.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Preamble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Section 229(1) of the Constitution of the Republic of South Africa authorizes a municipality to impose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a. Rates on property and surcharges on fees for services provided by or on behalf of the municipal, and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b. If authorized by national legislation, other taxes, levies and duties.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 In terms of section 75A of the Systems Act, 32 of 2000, a municipality may: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 Levy and recover fees, charges or tariffs in respect of 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any function or services of the </w:t>
      </w:r>
      <w:r>
        <w:rPr>
          <w:rFonts w:ascii="Arial" w:hAnsi="Arial" w:cs="Arial"/>
          <w:color w:val="000000"/>
          <w:sz w:val="20"/>
          <w:szCs w:val="20"/>
        </w:rPr>
        <w:t>municipality, and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b. Recover collection charges and interest on any outstanding debt.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 In terms of section 74(1) of the Systems Act, 32 of 2000, a m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unicipal council must adopt and </w:t>
      </w:r>
      <w:r>
        <w:rPr>
          <w:rFonts w:ascii="Arial" w:hAnsi="Arial" w:cs="Arial"/>
          <w:color w:val="000000"/>
          <w:sz w:val="20"/>
          <w:szCs w:val="20"/>
        </w:rPr>
        <w:t>implement a tariff policy on the levying of fees for a municipal service pr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ovided by the municipality or </w:t>
      </w:r>
      <w:r>
        <w:rPr>
          <w:rFonts w:ascii="Arial" w:hAnsi="Arial" w:cs="Arial"/>
          <w:color w:val="000000"/>
          <w:sz w:val="20"/>
          <w:szCs w:val="20"/>
        </w:rPr>
        <w:t>by way of services delivery agreements and which complies with the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 provisions of the systems act, </w:t>
      </w:r>
      <w:r>
        <w:rPr>
          <w:rFonts w:ascii="Arial" w:hAnsi="Arial" w:cs="Arial"/>
          <w:color w:val="000000"/>
          <w:sz w:val="20"/>
          <w:szCs w:val="20"/>
        </w:rPr>
        <w:t>the Local Government Municipal Finance Management Act, 53 o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f 2003 and any other applicable </w:t>
      </w:r>
      <w:r>
        <w:rPr>
          <w:rFonts w:ascii="Arial" w:hAnsi="Arial" w:cs="Arial"/>
          <w:color w:val="000000"/>
          <w:sz w:val="20"/>
          <w:szCs w:val="20"/>
        </w:rPr>
        <w:t>legislation.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 In terms of section 75(1) of the Systems Act, 32 of 2000, a municipa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l council must adopt by-laws to </w:t>
      </w:r>
      <w:r>
        <w:rPr>
          <w:rFonts w:ascii="Arial" w:hAnsi="Arial" w:cs="Arial"/>
          <w:color w:val="000000"/>
          <w:sz w:val="20"/>
          <w:szCs w:val="20"/>
        </w:rPr>
        <w:t>give effect to the implementation and enforcement of its tariff polices.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5. In terms of section 75(2) of the Systems Act, 32 of 2000, by-laws adopted in terms of subsection</w:t>
      </w:r>
      <w:r w:rsidR="00823FBE">
        <w:rPr>
          <w:rFonts w:ascii="Arial" w:hAnsi="Arial" w:cs="Arial"/>
          <w:color w:val="000000"/>
          <w:sz w:val="20"/>
          <w:szCs w:val="20"/>
        </w:rPr>
        <w:t xml:space="preserve"> 75(1) </w:t>
      </w:r>
      <w:r>
        <w:rPr>
          <w:rFonts w:ascii="Arial" w:hAnsi="Arial" w:cs="Arial"/>
          <w:color w:val="000000"/>
          <w:sz w:val="20"/>
          <w:szCs w:val="20"/>
        </w:rPr>
        <w:t>may differentiate between different categories of users, debtor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s, service providers, services, </w:t>
      </w:r>
      <w:r w:rsidR="00823FBE">
        <w:rPr>
          <w:rFonts w:ascii="Arial" w:hAnsi="Arial" w:cs="Arial"/>
          <w:color w:val="000000"/>
          <w:sz w:val="20"/>
          <w:szCs w:val="20"/>
        </w:rPr>
        <w:t xml:space="preserve">service </w:t>
      </w:r>
      <w:r>
        <w:rPr>
          <w:rFonts w:ascii="Arial" w:hAnsi="Arial" w:cs="Arial"/>
          <w:color w:val="000000"/>
          <w:sz w:val="20"/>
          <w:szCs w:val="20"/>
        </w:rPr>
        <w:t>standards and geographical areas as long as such differenti</w:t>
      </w:r>
      <w:r w:rsidR="00823FBE">
        <w:rPr>
          <w:rFonts w:ascii="Arial" w:hAnsi="Arial" w:cs="Arial"/>
          <w:color w:val="000000"/>
          <w:sz w:val="20"/>
          <w:szCs w:val="20"/>
        </w:rPr>
        <w:t xml:space="preserve">ation does not amount to unfair </w:t>
      </w:r>
      <w:r w:rsidR="00BF6ABF">
        <w:rPr>
          <w:rFonts w:ascii="Arial" w:hAnsi="Arial" w:cs="Arial"/>
          <w:color w:val="000000"/>
          <w:sz w:val="20"/>
          <w:szCs w:val="20"/>
        </w:rPr>
        <w:t>discrimination.</w:t>
      </w:r>
    </w:p>
    <w:p w:rsidR="00BF6ABF" w:rsidRDefault="00BF6ABF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BF6ABF" w:rsidRDefault="00BF6ABF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Definitions</w:t>
      </w:r>
    </w:p>
    <w:p w:rsidR="00BF6ABF" w:rsidRDefault="00BF6ABF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 this By-Law any word or expression to which a meaning has been assi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gned in the Act, shall bear the </w:t>
      </w:r>
      <w:r>
        <w:rPr>
          <w:rFonts w:ascii="Arial" w:hAnsi="Arial" w:cs="Arial"/>
          <w:color w:val="000000"/>
          <w:sz w:val="20"/>
          <w:szCs w:val="20"/>
        </w:rPr>
        <w:t>same meaning in these By-laws, and unless the context indicates otherwise —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“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Council” </w:t>
      </w:r>
      <w:r>
        <w:rPr>
          <w:rFonts w:ascii="Arial" w:hAnsi="Arial" w:cs="Arial"/>
          <w:color w:val="000000"/>
          <w:sz w:val="20"/>
          <w:szCs w:val="20"/>
        </w:rPr>
        <w:t xml:space="preserve">means the Council of the </w:t>
      </w:r>
      <w:r w:rsidR="00823FBE">
        <w:rPr>
          <w:rFonts w:ascii="Arial" w:hAnsi="Arial" w:cs="Arial"/>
          <w:color w:val="000000"/>
          <w:sz w:val="20"/>
          <w:szCs w:val="20"/>
        </w:rPr>
        <w:t xml:space="preserve">Ba-Phalaborwa </w:t>
      </w:r>
      <w:r>
        <w:rPr>
          <w:rFonts w:ascii="Arial" w:hAnsi="Arial" w:cs="Arial"/>
          <w:color w:val="000000"/>
          <w:sz w:val="20"/>
          <w:szCs w:val="20"/>
        </w:rPr>
        <w:t>Municipality;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“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Credit Control and Debt Collection By-law and policy” </w:t>
      </w:r>
      <w:r>
        <w:rPr>
          <w:rFonts w:ascii="Arial" w:hAnsi="Arial" w:cs="Arial"/>
          <w:color w:val="000000"/>
          <w:sz w:val="20"/>
          <w:szCs w:val="20"/>
        </w:rPr>
        <w:t>means the Credit Control and Debt Collection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Policy as required in terms of section 96(b) and 97 and 98 of the Local Government: Municipal Systems Act,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Act 32 of 2000;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“Tariff” </w:t>
      </w:r>
      <w:r>
        <w:rPr>
          <w:rFonts w:ascii="Arial" w:hAnsi="Arial" w:cs="Arial"/>
          <w:color w:val="000000"/>
          <w:sz w:val="20"/>
          <w:szCs w:val="20"/>
        </w:rPr>
        <w:t>means fees, charges or any other tariffs levied by the council in res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pect of any function or service </w:t>
      </w:r>
      <w:r>
        <w:rPr>
          <w:rFonts w:ascii="Arial" w:hAnsi="Arial" w:cs="Arial"/>
          <w:color w:val="000000"/>
          <w:sz w:val="20"/>
          <w:szCs w:val="20"/>
        </w:rPr>
        <w:t>provided by the Council, excluding rates levied by the council i</w:t>
      </w:r>
      <w:r w:rsidR="00823FBE">
        <w:rPr>
          <w:rFonts w:ascii="Arial" w:hAnsi="Arial" w:cs="Arial"/>
          <w:color w:val="000000"/>
          <w:sz w:val="20"/>
          <w:szCs w:val="20"/>
        </w:rPr>
        <w:t xml:space="preserve">n terms of the Local Government </w:t>
      </w:r>
      <w:r>
        <w:rPr>
          <w:rFonts w:ascii="Arial" w:hAnsi="Arial" w:cs="Arial"/>
          <w:color w:val="000000"/>
          <w:sz w:val="20"/>
          <w:szCs w:val="20"/>
        </w:rPr>
        <w:t>Municipal:</w:t>
      </w:r>
      <w:r w:rsidR="00823FBE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Property Rates Act; Act 6 of 2004;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“Tariff policy” </w:t>
      </w:r>
      <w:r>
        <w:rPr>
          <w:rFonts w:ascii="Arial" w:hAnsi="Arial" w:cs="Arial"/>
          <w:color w:val="000000"/>
          <w:sz w:val="20"/>
          <w:szCs w:val="20"/>
        </w:rPr>
        <w:t>means a tariff policy adopted by Council in terms of this By-law.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1. Guiding principles in the determination of tariffs.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 the determination of tariffs the Council shall be guided by the following principles –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i. Tariffs shall be equitable and affordable in that the amount du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e for municipal services should </w:t>
      </w:r>
      <w:r w:rsidR="00823FBE">
        <w:rPr>
          <w:rFonts w:ascii="Arial" w:hAnsi="Arial" w:cs="Arial"/>
          <w:color w:val="000000"/>
          <w:sz w:val="20"/>
          <w:szCs w:val="20"/>
        </w:rPr>
        <w:t xml:space="preserve">generally </w:t>
      </w:r>
      <w:r>
        <w:rPr>
          <w:rFonts w:ascii="Arial" w:hAnsi="Arial" w:cs="Arial"/>
          <w:color w:val="000000"/>
          <w:sz w:val="20"/>
          <w:szCs w:val="20"/>
        </w:rPr>
        <w:t>be in proportion to their use of that service;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ii. Tariffs shall support national macro-economic policies and shall incorporate visions,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 </w:t>
      </w:r>
      <w:r w:rsidR="00823FBE">
        <w:rPr>
          <w:rFonts w:ascii="Arial" w:hAnsi="Arial" w:cs="Arial"/>
          <w:color w:val="000000"/>
          <w:sz w:val="20"/>
          <w:szCs w:val="20"/>
        </w:rPr>
        <w:t xml:space="preserve">strategies and </w:t>
      </w:r>
      <w:r>
        <w:rPr>
          <w:rFonts w:ascii="Arial" w:hAnsi="Arial" w:cs="Arial"/>
          <w:color w:val="000000"/>
          <w:sz w:val="20"/>
          <w:szCs w:val="20"/>
        </w:rPr>
        <w:t>economic policies of the Republic of South Africa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iii. Tariffs shall be cost effective and cost reflective and sho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uld reflect the </w:t>
      </w:r>
      <w:r w:rsidR="00823FBE">
        <w:rPr>
          <w:rFonts w:ascii="Arial" w:hAnsi="Arial" w:cs="Arial"/>
          <w:color w:val="000000"/>
          <w:sz w:val="20"/>
          <w:szCs w:val="20"/>
        </w:rPr>
        <w:t xml:space="preserve">cost reasonably associated with </w:t>
      </w:r>
      <w:r>
        <w:rPr>
          <w:rFonts w:ascii="Arial" w:hAnsi="Arial" w:cs="Arial"/>
          <w:color w:val="000000"/>
          <w:sz w:val="20"/>
          <w:szCs w:val="20"/>
        </w:rPr>
        <w:t>rendering municipal services, including c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apital, operating, maintenance, </w:t>
      </w:r>
      <w:r w:rsidR="00823FBE">
        <w:rPr>
          <w:rFonts w:ascii="Arial" w:hAnsi="Arial" w:cs="Arial"/>
          <w:color w:val="000000"/>
          <w:sz w:val="20"/>
          <w:szCs w:val="20"/>
        </w:rPr>
        <w:t xml:space="preserve">administration, replacement </w:t>
      </w:r>
      <w:r>
        <w:rPr>
          <w:rFonts w:ascii="Arial" w:hAnsi="Arial" w:cs="Arial"/>
          <w:color w:val="000000"/>
          <w:sz w:val="20"/>
          <w:szCs w:val="20"/>
        </w:rPr>
        <w:t>costs and financing charges;</w:t>
      </w:r>
    </w:p>
    <w:p w:rsidR="00BF6ABF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iv. Tariffs shall promote the sustainability of the provision of municipal services.</w:t>
      </w:r>
    </w:p>
    <w:p w:rsidR="00BF6ABF" w:rsidRDefault="00BF6ABF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2. Application of By-Law</w:t>
      </w:r>
    </w:p>
    <w:p w:rsidR="00BF6ABF" w:rsidRDefault="00BF6ABF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This by-law shall only apply to tariffs applicable to the Council and municipal entities in re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spect of </w:t>
      </w:r>
      <w:r>
        <w:rPr>
          <w:rFonts w:ascii="Arial" w:hAnsi="Arial" w:cs="Arial"/>
          <w:color w:val="000000"/>
          <w:sz w:val="20"/>
          <w:szCs w:val="20"/>
        </w:rPr>
        <w:t>which the municipality i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s the parent municipality for – </w:t>
      </w:r>
      <w:r>
        <w:rPr>
          <w:rFonts w:ascii="Arial" w:hAnsi="Arial" w:cs="Arial"/>
          <w:color w:val="000000"/>
          <w:sz w:val="20"/>
          <w:szCs w:val="20"/>
        </w:rPr>
        <w:t>Fees, surcharges on fees, ch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arges and tariffs in respect of </w:t>
      </w:r>
      <w:r>
        <w:rPr>
          <w:rFonts w:ascii="Arial" w:hAnsi="Arial" w:cs="Arial"/>
          <w:color w:val="000000"/>
          <w:sz w:val="20"/>
          <w:szCs w:val="20"/>
        </w:rPr>
        <w:t>municipal services, such as –</w:t>
      </w:r>
    </w:p>
    <w:p w:rsidR="0021102D" w:rsidRDefault="00BF6ABF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i. P</w:t>
      </w:r>
      <w:r w:rsidR="0021102D">
        <w:rPr>
          <w:rFonts w:ascii="Arial" w:hAnsi="Arial" w:cs="Arial"/>
          <w:color w:val="000000"/>
          <w:sz w:val="20"/>
          <w:szCs w:val="20"/>
        </w:rPr>
        <w:t>rovision of water;</w:t>
      </w:r>
    </w:p>
    <w:p w:rsidR="0021102D" w:rsidRDefault="00BF6ABF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ii. R</w:t>
      </w:r>
      <w:r w:rsidR="0021102D">
        <w:rPr>
          <w:rFonts w:ascii="Arial" w:hAnsi="Arial" w:cs="Arial"/>
          <w:color w:val="000000"/>
          <w:sz w:val="20"/>
          <w:szCs w:val="20"/>
        </w:rPr>
        <w:t>efuse removal;</w:t>
      </w:r>
    </w:p>
    <w:p w:rsidR="0021102D" w:rsidRDefault="00BF6ABF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iii. S</w:t>
      </w:r>
      <w:r w:rsidR="0021102D">
        <w:rPr>
          <w:rFonts w:ascii="Arial" w:hAnsi="Arial" w:cs="Arial"/>
          <w:color w:val="000000"/>
          <w:sz w:val="20"/>
          <w:szCs w:val="20"/>
        </w:rPr>
        <w:t>ewerage;</w:t>
      </w:r>
    </w:p>
    <w:p w:rsidR="0021102D" w:rsidRDefault="00823FBE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</w:t>
      </w:r>
      <w:r w:rsidR="0021102D">
        <w:rPr>
          <w:rFonts w:ascii="Arial" w:hAnsi="Arial" w:cs="Arial"/>
          <w:color w:val="000000"/>
          <w:sz w:val="20"/>
          <w:szCs w:val="20"/>
        </w:rPr>
        <w:t>v</w:t>
      </w:r>
      <w:r w:rsidR="00BF6ABF">
        <w:rPr>
          <w:rFonts w:ascii="Arial" w:hAnsi="Arial" w:cs="Arial"/>
          <w:color w:val="000000"/>
          <w:sz w:val="20"/>
          <w:szCs w:val="20"/>
        </w:rPr>
        <w:t>. E</w:t>
      </w:r>
      <w:r w:rsidR="0021102D">
        <w:rPr>
          <w:rFonts w:ascii="Arial" w:hAnsi="Arial" w:cs="Arial"/>
          <w:color w:val="000000"/>
          <w:sz w:val="20"/>
          <w:szCs w:val="20"/>
        </w:rPr>
        <w:t>lectricity consumption;</w:t>
      </w:r>
    </w:p>
    <w:p w:rsidR="0021102D" w:rsidRDefault="00823FBE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v</w:t>
      </w:r>
      <w:r w:rsidR="00BF6ABF">
        <w:rPr>
          <w:rFonts w:ascii="Arial" w:hAnsi="Arial" w:cs="Arial"/>
          <w:color w:val="000000"/>
          <w:sz w:val="20"/>
          <w:szCs w:val="20"/>
        </w:rPr>
        <w:t>. M</w:t>
      </w:r>
      <w:r w:rsidR="0021102D">
        <w:rPr>
          <w:rFonts w:ascii="Arial" w:hAnsi="Arial" w:cs="Arial"/>
          <w:color w:val="000000"/>
          <w:sz w:val="20"/>
          <w:szCs w:val="20"/>
        </w:rPr>
        <w:t>unicipal services provided through prepaid meters.</w:t>
      </w:r>
    </w:p>
    <w:p w:rsidR="0021102D" w:rsidRDefault="00BF6ABF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vi. A</w:t>
      </w:r>
      <w:r w:rsidR="0021102D">
        <w:rPr>
          <w:rFonts w:ascii="Arial" w:hAnsi="Arial" w:cs="Arial"/>
          <w:color w:val="000000"/>
          <w:sz w:val="20"/>
          <w:szCs w:val="20"/>
        </w:rPr>
        <w:t>ll other related costs for services rendered in terms of the service</w:t>
      </w:r>
    </w:p>
    <w:p w:rsidR="0021102D" w:rsidRDefault="00BF6ABF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vii. I</w:t>
      </w:r>
      <w:r w:rsidR="0021102D">
        <w:rPr>
          <w:rFonts w:ascii="Arial" w:hAnsi="Arial" w:cs="Arial"/>
          <w:color w:val="000000"/>
          <w:sz w:val="20"/>
          <w:szCs w:val="20"/>
        </w:rPr>
        <w:t xml:space="preserve">nterest which has accrued or will accrue in respect </w:t>
      </w:r>
      <w:r>
        <w:rPr>
          <w:rFonts w:ascii="Arial" w:hAnsi="Arial" w:cs="Arial"/>
          <w:color w:val="000000"/>
          <w:sz w:val="20"/>
          <w:szCs w:val="20"/>
        </w:rPr>
        <w:t xml:space="preserve">of money due and payable to the </w:t>
      </w:r>
      <w:r w:rsidR="0021102D">
        <w:rPr>
          <w:rFonts w:ascii="Arial" w:hAnsi="Arial" w:cs="Arial"/>
          <w:color w:val="000000"/>
          <w:sz w:val="20"/>
          <w:szCs w:val="20"/>
        </w:rPr>
        <w:t>Council;</w:t>
      </w:r>
    </w:p>
    <w:p w:rsidR="0021102D" w:rsidRDefault="00823FBE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viii</w:t>
      </w:r>
      <w:r w:rsidR="00BF6ABF">
        <w:rPr>
          <w:rFonts w:ascii="Arial" w:hAnsi="Arial" w:cs="Arial"/>
          <w:color w:val="000000"/>
          <w:sz w:val="20"/>
          <w:szCs w:val="20"/>
        </w:rPr>
        <w:t>. C</w:t>
      </w:r>
      <w:r w:rsidR="0021102D">
        <w:rPr>
          <w:rFonts w:ascii="Arial" w:hAnsi="Arial" w:cs="Arial"/>
          <w:color w:val="000000"/>
          <w:sz w:val="20"/>
          <w:szCs w:val="20"/>
        </w:rPr>
        <w:t>ollection charges in those cases where the Council is responsible for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(aa) the rendering of municipal accounts in respect of a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ny one or more of the municipal </w:t>
      </w:r>
      <w:r>
        <w:rPr>
          <w:rFonts w:ascii="Arial" w:hAnsi="Arial" w:cs="Arial"/>
          <w:color w:val="000000"/>
          <w:sz w:val="20"/>
          <w:szCs w:val="20"/>
        </w:rPr>
        <w:t>services;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(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bb</w:t>
      </w:r>
      <w:proofErr w:type="gramEnd"/>
      <w:r>
        <w:rPr>
          <w:rFonts w:ascii="Arial" w:hAnsi="Arial" w:cs="Arial"/>
          <w:color w:val="000000"/>
          <w:sz w:val="20"/>
          <w:szCs w:val="20"/>
        </w:rPr>
        <w:t>) the recovery of amounts due and payable in respect thereof, irrespective whe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ther </w:t>
      </w:r>
      <w:r w:rsidR="00823FBE">
        <w:rPr>
          <w:rFonts w:ascii="Arial" w:hAnsi="Arial" w:cs="Arial"/>
          <w:color w:val="000000"/>
          <w:sz w:val="20"/>
          <w:szCs w:val="20"/>
        </w:rPr>
        <w:t xml:space="preserve">the municipal </w:t>
      </w:r>
      <w:r>
        <w:rPr>
          <w:rFonts w:ascii="Arial" w:hAnsi="Arial" w:cs="Arial"/>
          <w:color w:val="000000"/>
          <w:sz w:val="20"/>
          <w:szCs w:val="20"/>
        </w:rPr>
        <w:t>services, or any of them, are provide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d by the Council itself or by a </w:t>
      </w:r>
      <w:r>
        <w:rPr>
          <w:rFonts w:ascii="Arial" w:hAnsi="Arial" w:cs="Arial"/>
          <w:color w:val="000000"/>
          <w:sz w:val="20"/>
          <w:szCs w:val="20"/>
        </w:rPr>
        <w:t>se</w:t>
      </w:r>
      <w:r w:rsidR="00823FBE">
        <w:rPr>
          <w:rFonts w:ascii="Arial" w:hAnsi="Arial" w:cs="Arial"/>
          <w:color w:val="000000"/>
          <w:sz w:val="20"/>
          <w:szCs w:val="20"/>
        </w:rPr>
        <w:t xml:space="preserve">rvice utility with which it has </w:t>
      </w:r>
      <w:r>
        <w:rPr>
          <w:rFonts w:ascii="Arial" w:hAnsi="Arial" w:cs="Arial"/>
          <w:color w:val="000000"/>
          <w:sz w:val="20"/>
          <w:szCs w:val="20"/>
        </w:rPr>
        <w:t xml:space="preserve">concluded a service 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provider agreement to provide a </w:t>
      </w:r>
      <w:r>
        <w:rPr>
          <w:rFonts w:ascii="Arial" w:hAnsi="Arial" w:cs="Arial"/>
          <w:color w:val="000000"/>
          <w:sz w:val="20"/>
          <w:szCs w:val="20"/>
        </w:rPr>
        <w:t>service on the municipality’s behalf.</w:t>
      </w:r>
    </w:p>
    <w:p w:rsidR="00BF6ABF" w:rsidRDefault="00BF6ABF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BF6ABF" w:rsidRDefault="00BF6ABF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3. Adoption and implementation of Tariff Policy</w:t>
      </w:r>
    </w:p>
    <w:p w:rsidR="00BF6ABF" w:rsidRDefault="00BF6ABF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The council shall adopt and implement a tariff policy on the levying 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of fees for a municipal service </w:t>
      </w:r>
      <w:r>
        <w:rPr>
          <w:rFonts w:ascii="Arial" w:hAnsi="Arial" w:cs="Arial"/>
          <w:color w:val="000000"/>
          <w:sz w:val="20"/>
          <w:szCs w:val="20"/>
        </w:rPr>
        <w:t>provided by the council or by way of service delivery agreements whi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ch complies with the provisions of </w:t>
      </w:r>
      <w:r>
        <w:rPr>
          <w:rFonts w:ascii="Arial" w:hAnsi="Arial" w:cs="Arial"/>
          <w:color w:val="000000"/>
          <w:sz w:val="20"/>
          <w:szCs w:val="20"/>
        </w:rPr>
        <w:t>the Local Government: Municipal Systems Act, 32 of 2000,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 the Local Government Municipal </w:t>
      </w:r>
      <w:r>
        <w:rPr>
          <w:rFonts w:ascii="Arial" w:hAnsi="Arial" w:cs="Arial"/>
          <w:color w:val="000000"/>
          <w:sz w:val="20"/>
          <w:szCs w:val="20"/>
        </w:rPr>
        <w:t>Finance Management Act, 56 of 2003 and any other applicable legislation.</w:t>
      </w:r>
    </w:p>
    <w:p w:rsidR="00BF6ABF" w:rsidRDefault="00BF6ABF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BF6ABF" w:rsidRDefault="00BF6ABF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4. Enforcement of Tariff Policy</w:t>
      </w:r>
    </w:p>
    <w:p w:rsidR="00BF6ABF" w:rsidRDefault="00BF6ABF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Council’s tariff policy shall be enforced through the Credit Con</w:t>
      </w:r>
      <w:r w:rsidR="00BF6ABF">
        <w:rPr>
          <w:rFonts w:ascii="Arial" w:hAnsi="Arial" w:cs="Arial"/>
          <w:color w:val="000000"/>
          <w:sz w:val="20"/>
          <w:szCs w:val="20"/>
        </w:rPr>
        <w:t xml:space="preserve">trol and Debt Collection By-Law and </w:t>
      </w:r>
      <w:r>
        <w:rPr>
          <w:rFonts w:ascii="Arial" w:hAnsi="Arial" w:cs="Arial"/>
          <w:color w:val="000000"/>
          <w:sz w:val="20"/>
          <w:szCs w:val="20"/>
        </w:rPr>
        <w:t>policy and any further enforcement mechanism stipulated in the Council’s tariff policy.</w:t>
      </w: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BF6ABF" w:rsidRDefault="00BF6ABF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5. Short title and commencement</w:t>
      </w:r>
    </w:p>
    <w:p w:rsidR="00BF6ABF" w:rsidRDefault="00BF6ABF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1102D" w:rsidRDefault="0021102D" w:rsidP="002110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This By-law is the Tariff By-law,</w:t>
      </w:r>
      <w:r w:rsidR="00823FBE">
        <w:rPr>
          <w:rFonts w:ascii="Arial" w:hAnsi="Arial" w:cs="Arial"/>
          <w:color w:val="000000"/>
          <w:sz w:val="20"/>
          <w:szCs w:val="20"/>
        </w:rPr>
        <w:t xml:space="preserve"> and takes effect on 1 July 2018.</w:t>
      </w:r>
    </w:p>
    <w:sectPr w:rsidR="002110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02D"/>
    <w:rsid w:val="0021102D"/>
    <w:rsid w:val="005F40FB"/>
    <w:rsid w:val="00651A47"/>
    <w:rsid w:val="006E7DF3"/>
    <w:rsid w:val="00823FBE"/>
    <w:rsid w:val="008B1EDC"/>
    <w:rsid w:val="00B35C9E"/>
    <w:rsid w:val="00BF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BDF7F1-6247-4E73-84AF-7DD298384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99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760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Ndivhuho Tshishonga</dc:creator>
  <cp:keywords/>
  <dc:description/>
  <cp:lastModifiedBy>Ndivhuho Tshishonga</cp:lastModifiedBy>
  <cp:revision>4</cp:revision>
  <dcterms:created xsi:type="dcterms:W3CDTF">2018-02-12T15:32:00Z</dcterms:created>
  <dcterms:modified xsi:type="dcterms:W3CDTF">2018-02-14T08:28:00Z</dcterms:modified>
</cp:coreProperties>
</file>