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Look w:val="04A0"/>
      </w:tblPr>
      <w:tblGrid>
        <w:gridCol w:w="9629"/>
      </w:tblGrid>
      <w:tr w:rsidR="00880D5A">
        <w:trPr>
          <w:trHeight w:val="2880"/>
          <w:jc w:val="center"/>
        </w:trPr>
        <w:tc>
          <w:tcPr>
            <w:tcW w:w="5000" w:type="pct"/>
          </w:tcPr>
          <w:p w:rsidR="00880D5A" w:rsidRDefault="00DB6B05" w:rsidP="00DB6B05">
            <w:pPr>
              <w:pStyle w:val="Subtitle"/>
            </w:pPr>
            <w:r w:rsidRPr="008B0530">
              <w:t>BA-PHALABORWA LOCAL MUNICIPALITY</w:t>
            </w:r>
          </w:p>
          <w:p w:rsidR="00DB6B05" w:rsidRDefault="00DB6B05" w:rsidP="00DB6B05">
            <w:pPr>
              <w:pStyle w:val="Subtitle"/>
            </w:pPr>
          </w:p>
          <w:p w:rsidR="00DB6B05" w:rsidRDefault="00DB6B05" w:rsidP="00DB6B05">
            <w:pPr>
              <w:pStyle w:val="Subtitle"/>
            </w:pPr>
          </w:p>
          <w:p w:rsidR="00DB6B05" w:rsidRDefault="00DB6B05" w:rsidP="00DB6B05">
            <w:pPr>
              <w:pStyle w:val="Subtitle"/>
            </w:pPr>
          </w:p>
          <w:p w:rsidR="00DB6B05" w:rsidRDefault="00DB6B05" w:rsidP="00DB6B05">
            <w:pPr>
              <w:pStyle w:val="Subtitle"/>
            </w:pPr>
          </w:p>
          <w:p w:rsidR="00DB6B05" w:rsidRDefault="00DB6B05" w:rsidP="00DB6B05">
            <w:pPr>
              <w:pStyle w:val="Subtitle"/>
            </w:pPr>
          </w:p>
          <w:p w:rsidR="00DB6B05" w:rsidRDefault="00DB6B05" w:rsidP="00DB6B05">
            <w:pPr>
              <w:pStyle w:val="Subtitle"/>
            </w:pPr>
          </w:p>
          <w:p w:rsidR="00DB6B05" w:rsidRDefault="00D023D6" w:rsidP="00DB6B05">
            <w:pPr>
              <w:pStyle w:val="Subtitle"/>
            </w:pPr>
            <w:r w:rsidRPr="00D023D6">
              <w:rPr>
                <w:noProof/>
                <w:lang w:val="en-GB" w:eastAsia="en-GB"/>
              </w:rPr>
              <w:drawing>
                <wp:inline distT="0" distB="0" distL="0" distR="0">
                  <wp:extent cx="4953000" cy="3667125"/>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953000" cy="3667125"/>
                          </a:xfrm>
                          <a:prstGeom prst="rect">
                            <a:avLst/>
                          </a:prstGeom>
                          <a:noFill/>
                          <a:ln w="9525">
                            <a:noFill/>
                            <a:miter lim="800000"/>
                            <a:headEnd/>
                            <a:tailEnd/>
                          </a:ln>
                        </pic:spPr>
                      </pic:pic>
                    </a:graphicData>
                  </a:graphic>
                </wp:inline>
              </w:drawing>
            </w:r>
          </w:p>
          <w:p w:rsidR="00DB6B05" w:rsidRDefault="00DB6B05" w:rsidP="00DB6B05">
            <w:pPr>
              <w:pStyle w:val="Subtitle"/>
            </w:pPr>
          </w:p>
          <w:p w:rsidR="00DB6B05" w:rsidRDefault="00DB6B05" w:rsidP="00DB6B05">
            <w:pPr>
              <w:pStyle w:val="Subtitle"/>
            </w:pPr>
          </w:p>
          <w:p w:rsidR="00DB6B05" w:rsidRDefault="00DB6B05" w:rsidP="00DB6B05">
            <w:pPr>
              <w:pStyle w:val="Subtitle"/>
              <w:rPr>
                <w:rFonts w:ascii="Cambria" w:hAnsi="Cambria"/>
                <w:caps/>
              </w:rPr>
            </w:pPr>
          </w:p>
        </w:tc>
      </w:tr>
      <w:tr w:rsidR="00880D5A">
        <w:trPr>
          <w:trHeight w:val="1440"/>
          <w:jc w:val="center"/>
        </w:trPr>
        <w:tc>
          <w:tcPr>
            <w:tcW w:w="5000" w:type="pct"/>
            <w:tcBorders>
              <w:bottom w:val="single" w:sz="4" w:space="0" w:color="4F81BD"/>
            </w:tcBorders>
            <w:vAlign w:val="center"/>
          </w:tcPr>
          <w:p w:rsidR="000C47D8" w:rsidRDefault="00FA7D7A" w:rsidP="00154524">
            <w:pPr>
              <w:pStyle w:val="NoSpacing"/>
              <w:jc w:val="center"/>
              <w:rPr>
                <w:rFonts w:ascii="Cambria" w:hAnsi="Cambria"/>
                <w:sz w:val="80"/>
                <w:szCs w:val="80"/>
              </w:rPr>
            </w:pPr>
            <w:r>
              <w:rPr>
                <w:rFonts w:ascii="Cambria" w:hAnsi="Cambria"/>
                <w:sz w:val="80"/>
                <w:szCs w:val="80"/>
              </w:rPr>
              <w:t>Payroll Policy</w:t>
            </w:r>
          </w:p>
          <w:p w:rsidR="000C47D8" w:rsidRDefault="000C47D8" w:rsidP="00DB6B05">
            <w:pPr>
              <w:pStyle w:val="NoSpacing"/>
              <w:jc w:val="center"/>
              <w:rPr>
                <w:rFonts w:ascii="Cambria" w:hAnsi="Cambria"/>
                <w:sz w:val="80"/>
                <w:szCs w:val="80"/>
              </w:rPr>
            </w:pPr>
          </w:p>
          <w:p w:rsidR="000C47D8" w:rsidRDefault="00F945B8" w:rsidP="00DB6B05">
            <w:pPr>
              <w:pStyle w:val="NoSpacing"/>
              <w:jc w:val="center"/>
              <w:rPr>
                <w:rFonts w:ascii="Cambria" w:hAnsi="Cambria"/>
              </w:rPr>
            </w:pPr>
            <w:r>
              <w:rPr>
                <w:rFonts w:ascii="Cambria" w:hAnsi="Cambria"/>
              </w:rPr>
              <w:t xml:space="preserve"> 2013/14</w:t>
            </w:r>
          </w:p>
          <w:p w:rsidR="000C47D8" w:rsidRPr="000C47D8" w:rsidRDefault="000C47D8" w:rsidP="00DB6B05">
            <w:pPr>
              <w:pStyle w:val="NoSpacing"/>
              <w:jc w:val="center"/>
              <w:rPr>
                <w:rFonts w:ascii="Cambria" w:hAnsi="Cambria"/>
              </w:rPr>
            </w:pPr>
          </w:p>
        </w:tc>
      </w:tr>
    </w:tbl>
    <w:p w:rsidR="00FA7D7A" w:rsidRDefault="00FA7D7A" w:rsidP="00FA7D7A">
      <w:pPr>
        <w:jc w:val="both"/>
        <w:rPr>
          <w:rFonts w:cs="Arial"/>
        </w:rPr>
      </w:pPr>
    </w:p>
    <w:p w:rsidR="00154524" w:rsidRDefault="00154524" w:rsidP="00FA7D7A">
      <w:pPr>
        <w:jc w:val="both"/>
        <w:rPr>
          <w:rFonts w:cs="Arial"/>
        </w:rPr>
      </w:pPr>
    </w:p>
    <w:p w:rsidR="00154524" w:rsidRDefault="00154524" w:rsidP="00FA7D7A">
      <w:pPr>
        <w:jc w:val="both"/>
        <w:rPr>
          <w:rFonts w:cs="Arial"/>
        </w:rPr>
      </w:pPr>
    </w:p>
    <w:p w:rsidR="00154524" w:rsidRDefault="00154524" w:rsidP="00FA7D7A">
      <w:pPr>
        <w:jc w:val="both"/>
        <w:rPr>
          <w:rFonts w:cs="Arial"/>
        </w:rPr>
      </w:pPr>
    </w:p>
    <w:p w:rsidR="00FA7D7A" w:rsidRDefault="00FA7D7A" w:rsidP="00FA7D7A">
      <w:pPr>
        <w:ind w:left="142"/>
        <w:jc w:val="both"/>
        <w:rPr>
          <w:rFonts w:cs="Arial"/>
        </w:rPr>
      </w:pPr>
      <w:r>
        <w:rPr>
          <w:rFonts w:cs="Arial"/>
        </w:rPr>
        <w:tab/>
      </w:r>
    </w:p>
    <w:p w:rsidR="00FA7D7A" w:rsidRDefault="00FA7D7A" w:rsidP="00FA7D7A">
      <w:pPr>
        <w:ind w:left="142"/>
        <w:jc w:val="both"/>
        <w:rPr>
          <w:rFonts w:cs="Arial"/>
        </w:rPr>
      </w:pPr>
    </w:p>
    <w:p w:rsidR="00FA7D7A" w:rsidRPr="00F945B8" w:rsidRDefault="00FA7D7A" w:rsidP="00FA7D7A">
      <w:pPr>
        <w:ind w:left="142"/>
        <w:jc w:val="both"/>
        <w:rPr>
          <w:rFonts w:cs="Arial"/>
          <w:b/>
          <w:bCs/>
          <w:sz w:val="24"/>
          <w:szCs w:val="24"/>
        </w:rPr>
      </w:pPr>
      <w:r w:rsidRPr="00F945B8">
        <w:rPr>
          <w:rFonts w:cs="Arial"/>
          <w:b/>
          <w:bCs/>
          <w:sz w:val="24"/>
          <w:szCs w:val="24"/>
        </w:rPr>
        <w:lastRenderedPageBreak/>
        <w:t>Approval of Policy</w:t>
      </w:r>
    </w:p>
    <w:p w:rsidR="00FA7D7A" w:rsidRDefault="00FA7D7A" w:rsidP="00FA7D7A">
      <w:pPr>
        <w:ind w:left="142"/>
        <w:jc w:val="both"/>
        <w:rPr>
          <w:rFonts w:cs="Arial"/>
        </w:rPr>
      </w:pPr>
    </w:p>
    <w:p w:rsidR="00FA7D7A" w:rsidRPr="00F945B8" w:rsidRDefault="00FA7D7A" w:rsidP="00FA7D7A">
      <w:pPr>
        <w:ind w:left="142"/>
        <w:jc w:val="both"/>
        <w:rPr>
          <w:rFonts w:cs="Arial"/>
          <w:sz w:val="22"/>
          <w:szCs w:val="22"/>
        </w:rPr>
      </w:pPr>
      <w:r w:rsidRPr="00F945B8">
        <w:rPr>
          <w:rFonts w:cs="Arial"/>
          <w:sz w:val="22"/>
          <w:szCs w:val="22"/>
        </w:rPr>
        <w:t xml:space="preserve">Please note that the implementation of the policy contained in this document is subject to approval and signing off by all relevant Heads and/or Committees, including but not limited to: </w:t>
      </w:r>
    </w:p>
    <w:p w:rsidR="00FA7D7A" w:rsidRPr="00F945B8" w:rsidRDefault="00FA7D7A" w:rsidP="00FA7D7A">
      <w:pPr>
        <w:ind w:left="142"/>
        <w:jc w:val="both"/>
        <w:rPr>
          <w:rFonts w:cs="Arial"/>
          <w:sz w:val="22"/>
          <w:szCs w:val="22"/>
        </w:rPr>
      </w:pPr>
    </w:p>
    <w:p w:rsidR="00FA7D7A" w:rsidRPr="00F945B8" w:rsidRDefault="00FA7D7A" w:rsidP="00AA4792">
      <w:pPr>
        <w:numPr>
          <w:ilvl w:val="0"/>
          <w:numId w:val="1"/>
        </w:numPr>
        <w:jc w:val="both"/>
        <w:rPr>
          <w:rFonts w:cs="Arial"/>
          <w:sz w:val="22"/>
          <w:szCs w:val="22"/>
        </w:rPr>
      </w:pPr>
      <w:r w:rsidRPr="00F945B8">
        <w:rPr>
          <w:rFonts w:cs="Arial"/>
          <w:sz w:val="22"/>
          <w:szCs w:val="22"/>
        </w:rPr>
        <w:t>The Municipal Manager</w:t>
      </w:r>
    </w:p>
    <w:p w:rsidR="00FA7D7A" w:rsidRPr="00F945B8" w:rsidRDefault="00FA7D7A" w:rsidP="00AA4792">
      <w:pPr>
        <w:numPr>
          <w:ilvl w:val="0"/>
          <w:numId w:val="1"/>
        </w:numPr>
        <w:jc w:val="both"/>
        <w:rPr>
          <w:rFonts w:cs="Arial"/>
          <w:sz w:val="22"/>
          <w:szCs w:val="22"/>
        </w:rPr>
      </w:pPr>
      <w:r w:rsidRPr="00F945B8">
        <w:rPr>
          <w:rFonts w:cs="Arial"/>
          <w:sz w:val="22"/>
          <w:szCs w:val="22"/>
        </w:rPr>
        <w:t>Municipal Council</w:t>
      </w:r>
    </w:p>
    <w:p w:rsidR="00FA7D7A" w:rsidRDefault="00FA7D7A" w:rsidP="00FA7D7A">
      <w:pPr>
        <w:ind w:left="502"/>
        <w:jc w:val="both"/>
        <w:rPr>
          <w:rFonts w:cs="Arial"/>
        </w:rPr>
      </w:pPr>
    </w:p>
    <w:p w:rsidR="00FA7D7A" w:rsidRDefault="00FA7D7A" w:rsidP="00FA7D7A">
      <w:pPr>
        <w:jc w:val="both"/>
        <w:rPr>
          <w:rFonts w:cs="Arial"/>
        </w:rPr>
      </w:pPr>
    </w:p>
    <w:p w:rsidR="00FA7D7A" w:rsidRDefault="00FA7D7A" w:rsidP="00FA7D7A">
      <w:pPr>
        <w:jc w:val="center"/>
        <w:rPr>
          <w:rFonts w:cs="Arial"/>
          <w:b/>
          <w:bCs/>
          <w:sz w:val="32"/>
        </w:rPr>
      </w:pPr>
      <w:r>
        <w:br w:type="page"/>
      </w:r>
      <w:bookmarkStart w:id="0" w:name="_Toc202074138"/>
      <w:r>
        <w:rPr>
          <w:rFonts w:cs="Arial"/>
          <w:b/>
          <w:bCs/>
          <w:sz w:val="32"/>
        </w:rPr>
        <w:lastRenderedPageBreak/>
        <w:t>Contents</w:t>
      </w:r>
      <w:bookmarkEnd w:id="0"/>
    </w:p>
    <w:p w:rsidR="00F945B8" w:rsidRDefault="00F945B8" w:rsidP="00FA7D7A">
      <w:pPr>
        <w:jc w:val="center"/>
        <w:rPr>
          <w:rFonts w:cs="Arial"/>
          <w:b/>
          <w:bCs/>
          <w:sz w:val="32"/>
        </w:rPr>
      </w:pPr>
    </w:p>
    <w:p w:rsidR="00F945B8" w:rsidRDefault="00F945B8" w:rsidP="00FA7D7A">
      <w:pPr>
        <w:jc w:val="center"/>
        <w:rPr>
          <w:rFonts w:cs="Arial"/>
          <w:b/>
          <w:bCs/>
          <w:sz w:val="32"/>
        </w:rPr>
      </w:pPr>
    </w:p>
    <w:p w:rsidR="00F945B8" w:rsidRDefault="00F945B8" w:rsidP="00FA7D7A">
      <w:pPr>
        <w:jc w:val="center"/>
        <w:rPr>
          <w:rFonts w:cs="Arial"/>
          <w:b/>
          <w:bCs/>
          <w:sz w:val="32"/>
        </w:rPr>
      </w:pPr>
    </w:p>
    <w:p w:rsidR="00F945B8" w:rsidRDefault="00F945B8" w:rsidP="00FA7D7A">
      <w:pPr>
        <w:jc w:val="center"/>
        <w:rPr>
          <w:rFonts w:cs="Arial"/>
          <w:b/>
          <w:bCs/>
          <w:sz w:val="32"/>
        </w:rPr>
      </w:pPr>
    </w:p>
    <w:p w:rsidR="00FA7D7A" w:rsidRDefault="004C28D1" w:rsidP="00FA7D7A">
      <w:pPr>
        <w:pStyle w:val="TOC1"/>
        <w:tabs>
          <w:tab w:val="left" w:pos="660"/>
          <w:tab w:val="right" w:leader="dot" w:pos="9962"/>
        </w:tabs>
      </w:pPr>
      <w:r w:rsidRPr="004C28D1">
        <w:rPr>
          <w:rFonts w:cs="Arial"/>
          <w:b w:val="0"/>
          <w:bCs/>
          <w:sz w:val="28"/>
        </w:rPr>
        <w:fldChar w:fldCharType="begin"/>
      </w:r>
      <w:r w:rsidR="00FA7D7A">
        <w:rPr>
          <w:rFonts w:cs="Arial"/>
          <w:b w:val="0"/>
          <w:bCs/>
          <w:sz w:val="28"/>
        </w:rPr>
        <w:instrText xml:space="preserve"> TOC \o "1-3" \h \z \u </w:instrText>
      </w:r>
      <w:r w:rsidRPr="004C28D1">
        <w:rPr>
          <w:rFonts w:cs="Arial"/>
          <w:b w:val="0"/>
          <w:bCs/>
          <w:sz w:val="28"/>
        </w:rPr>
        <w:fldChar w:fldCharType="separate"/>
      </w:r>
      <w:hyperlink w:anchor="_Toc206314316" w:history="1">
        <w:r w:rsidR="00FA7D7A">
          <w:rPr>
            <w:rStyle w:val="Hyperlink"/>
            <w:rFonts w:cs="Arial"/>
            <w:szCs w:val="28"/>
          </w:rPr>
          <w:t>1.</w:t>
        </w:r>
        <w:r w:rsidR="00FA7D7A">
          <w:rPr>
            <w:rFonts w:ascii="Times New Roman" w:hAnsi="Times New Roman"/>
            <w:b w:val="0"/>
            <w:szCs w:val="24"/>
            <w:lang w:val="en-GB"/>
          </w:rPr>
          <w:tab/>
        </w:r>
        <w:r w:rsidR="00FA7D7A">
          <w:rPr>
            <w:rStyle w:val="Hyperlink"/>
            <w:rFonts w:cs="Arial"/>
            <w:szCs w:val="28"/>
          </w:rPr>
          <w:t>Purpose</w:t>
        </w:r>
        <w:r w:rsidR="00FA7D7A">
          <w:rPr>
            <w:webHidden/>
          </w:rPr>
          <w:tab/>
        </w:r>
        <w:r>
          <w:rPr>
            <w:webHidden/>
          </w:rPr>
          <w:fldChar w:fldCharType="begin"/>
        </w:r>
        <w:r w:rsidR="00FA7D7A">
          <w:rPr>
            <w:webHidden/>
          </w:rPr>
          <w:instrText xml:space="preserve"> PAGEREF _Toc206314316 \h </w:instrText>
        </w:r>
        <w:r>
          <w:rPr>
            <w:webHidden/>
          </w:rPr>
        </w:r>
        <w:r>
          <w:rPr>
            <w:webHidden/>
          </w:rPr>
          <w:fldChar w:fldCharType="separate"/>
        </w:r>
        <w:r w:rsidR="000C47D8">
          <w:rPr>
            <w:webHidden/>
          </w:rPr>
          <w:t>5</w:t>
        </w:r>
        <w:r>
          <w:rPr>
            <w:webHidden/>
          </w:rPr>
          <w:fldChar w:fldCharType="end"/>
        </w:r>
      </w:hyperlink>
    </w:p>
    <w:p w:rsidR="008C0DDA" w:rsidRPr="008C0DDA" w:rsidRDefault="008C0DDA" w:rsidP="008C0DDA">
      <w:pPr>
        <w:rPr>
          <w:lang w:val="en-ZA"/>
        </w:rPr>
      </w:pPr>
    </w:p>
    <w:p w:rsidR="00FA7D7A" w:rsidRDefault="004C28D1" w:rsidP="00FA7D7A">
      <w:pPr>
        <w:pStyle w:val="TOC1"/>
        <w:tabs>
          <w:tab w:val="left" w:pos="660"/>
          <w:tab w:val="right" w:leader="dot" w:pos="9962"/>
        </w:tabs>
      </w:pPr>
      <w:hyperlink w:anchor="_Toc206314317" w:history="1">
        <w:r w:rsidR="00FA7D7A">
          <w:rPr>
            <w:rStyle w:val="Hyperlink"/>
            <w:rFonts w:cs="Arial"/>
            <w:szCs w:val="28"/>
          </w:rPr>
          <w:t>2.</w:t>
        </w:r>
        <w:r w:rsidR="00FA7D7A">
          <w:rPr>
            <w:rFonts w:ascii="Times New Roman" w:hAnsi="Times New Roman"/>
            <w:b w:val="0"/>
            <w:szCs w:val="24"/>
            <w:lang w:val="en-GB"/>
          </w:rPr>
          <w:tab/>
        </w:r>
        <w:r w:rsidR="00FA7D7A">
          <w:rPr>
            <w:rStyle w:val="Hyperlink"/>
            <w:rFonts w:cs="Arial"/>
            <w:szCs w:val="28"/>
          </w:rPr>
          <w:t>Scope</w:t>
        </w:r>
        <w:r w:rsidR="00FA7D7A">
          <w:rPr>
            <w:webHidden/>
          </w:rPr>
          <w:tab/>
        </w:r>
        <w:r>
          <w:rPr>
            <w:webHidden/>
          </w:rPr>
          <w:fldChar w:fldCharType="begin"/>
        </w:r>
        <w:r w:rsidR="00FA7D7A">
          <w:rPr>
            <w:webHidden/>
          </w:rPr>
          <w:instrText xml:space="preserve"> PAGEREF _Toc206314317 \h </w:instrText>
        </w:r>
        <w:r>
          <w:rPr>
            <w:webHidden/>
          </w:rPr>
        </w:r>
        <w:r>
          <w:rPr>
            <w:webHidden/>
          </w:rPr>
          <w:fldChar w:fldCharType="separate"/>
        </w:r>
        <w:r w:rsidR="000C47D8">
          <w:rPr>
            <w:webHidden/>
          </w:rPr>
          <w:t>5</w:t>
        </w:r>
        <w:r>
          <w:rPr>
            <w:webHidden/>
          </w:rPr>
          <w:fldChar w:fldCharType="end"/>
        </w:r>
      </w:hyperlink>
    </w:p>
    <w:p w:rsidR="008C0DDA" w:rsidRPr="008C0DDA" w:rsidRDefault="008C0DDA" w:rsidP="008C0DDA">
      <w:pPr>
        <w:rPr>
          <w:lang w:val="en-ZA"/>
        </w:rPr>
      </w:pPr>
    </w:p>
    <w:p w:rsidR="00FA7D7A" w:rsidRDefault="004C28D1" w:rsidP="00FA7D7A">
      <w:pPr>
        <w:pStyle w:val="TOC1"/>
        <w:tabs>
          <w:tab w:val="left" w:pos="660"/>
          <w:tab w:val="right" w:leader="dot" w:pos="9962"/>
        </w:tabs>
      </w:pPr>
      <w:hyperlink w:anchor="_Toc206314318" w:history="1">
        <w:r w:rsidR="00FA7D7A">
          <w:rPr>
            <w:rStyle w:val="Hyperlink"/>
            <w:rFonts w:cs="Arial"/>
            <w:szCs w:val="28"/>
          </w:rPr>
          <w:t>3.</w:t>
        </w:r>
        <w:r w:rsidR="00FA7D7A">
          <w:rPr>
            <w:rFonts w:ascii="Times New Roman" w:hAnsi="Times New Roman"/>
            <w:b w:val="0"/>
            <w:szCs w:val="24"/>
            <w:lang w:val="en-GB"/>
          </w:rPr>
          <w:tab/>
        </w:r>
        <w:r w:rsidR="00FA7D7A">
          <w:rPr>
            <w:rStyle w:val="Hyperlink"/>
            <w:rFonts w:cs="Arial"/>
            <w:szCs w:val="28"/>
          </w:rPr>
          <w:t>Definitions</w:t>
        </w:r>
        <w:r w:rsidR="00FA7D7A">
          <w:rPr>
            <w:webHidden/>
          </w:rPr>
          <w:tab/>
        </w:r>
        <w:r>
          <w:rPr>
            <w:webHidden/>
          </w:rPr>
          <w:fldChar w:fldCharType="begin"/>
        </w:r>
        <w:r w:rsidR="00FA7D7A">
          <w:rPr>
            <w:webHidden/>
          </w:rPr>
          <w:instrText xml:space="preserve"> PAGEREF _Toc206314318 \h </w:instrText>
        </w:r>
        <w:r>
          <w:rPr>
            <w:webHidden/>
          </w:rPr>
        </w:r>
        <w:r>
          <w:rPr>
            <w:webHidden/>
          </w:rPr>
          <w:fldChar w:fldCharType="separate"/>
        </w:r>
        <w:r w:rsidR="000C47D8">
          <w:rPr>
            <w:webHidden/>
          </w:rPr>
          <w:t>5</w:t>
        </w:r>
        <w:r>
          <w:rPr>
            <w:webHidden/>
          </w:rPr>
          <w:fldChar w:fldCharType="end"/>
        </w:r>
      </w:hyperlink>
    </w:p>
    <w:p w:rsidR="008C0DDA" w:rsidRPr="008C0DDA" w:rsidRDefault="008C0DDA" w:rsidP="008C0DDA">
      <w:pPr>
        <w:rPr>
          <w:lang w:val="en-ZA"/>
        </w:rPr>
      </w:pPr>
    </w:p>
    <w:p w:rsidR="00FA7D7A" w:rsidRDefault="004C28D1" w:rsidP="00FA7D7A">
      <w:pPr>
        <w:pStyle w:val="TOC1"/>
        <w:tabs>
          <w:tab w:val="left" w:pos="660"/>
          <w:tab w:val="right" w:leader="dot" w:pos="9962"/>
        </w:tabs>
      </w:pPr>
      <w:hyperlink w:anchor="_Toc206314319" w:history="1">
        <w:r w:rsidR="00FA7D7A">
          <w:rPr>
            <w:rStyle w:val="Hyperlink"/>
            <w:rFonts w:cs="Arial"/>
            <w:szCs w:val="28"/>
          </w:rPr>
          <w:t>4.</w:t>
        </w:r>
        <w:r w:rsidR="00FA7D7A">
          <w:rPr>
            <w:rFonts w:ascii="Times New Roman" w:hAnsi="Times New Roman"/>
            <w:b w:val="0"/>
            <w:szCs w:val="24"/>
            <w:lang w:val="en-GB"/>
          </w:rPr>
          <w:tab/>
        </w:r>
        <w:r w:rsidR="00FA7D7A">
          <w:rPr>
            <w:rStyle w:val="Hyperlink"/>
            <w:rFonts w:cs="Arial"/>
            <w:szCs w:val="28"/>
          </w:rPr>
          <w:t>Principles</w:t>
        </w:r>
        <w:r w:rsidR="00FA7D7A">
          <w:rPr>
            <w:webHidden/>
          </w:rPr>
          <w:tab/>
        </w:r>
        <w:r>
          <w:rPr>
            <w:webHidden/>
          </w:rPr>
          <w:fldChar w:fldCharType="begin"/>
        </w:r>
        <w:r w:rsidR="00FA7D7A">
          <w:rPr>
            <w:webHidden/>
          </w:rPr>
          <w:instrText xml:space="preserve"> PAGEREF _Toc206314319 \h </w:instrText>
        </w:r>
        <w:r>
          <w:rPr>
            <w:webHidden/>
          </w:rPr>
        </w:r>
        <w:r>
          <w:rPr>
            <w:webHidden/>
          </w:rPr>
          <w:fldChar w:fldCharType="separate"/>
        </w:r>
        <w:r w:rsidR="000C47D8">
          <w:rPr>
            <w:webHidden/>
          </w:rPr>
          <w:t>5</w:t>
        </w:r>
        <w:r>
          <w:rPr>
            <w:webHidden/>
          </w:rPr>
          <w:fldChar w:fldCharType="end"/>
        </w:r>
      </w:hyperlink>
    </w:p>
    <w:p w:rsidR="008C0DDA" w:rsidRPr="008C0DDA" w:rsidRDefault="008C0DDA" w:rsidP="008C0DDA">
      <w:pPr>
        <w:rPr>
          <w:lang w:val="en-ZA"/>
        </w:rPr>
      </w:pPr>
    </w:p>
    <w:p w:rsidR="00FA7D7A" w:rsidRDefault="004C28D1" w:rsidP="00FA7D7A">
      <w:pPr>
        <w:pStyle w:val="TOC1"/>
        <w:tabs>
          <w:tab w:val="left" w:pos="660"/>
          <w:tab w:val="right" w:leader="dot" w:pos="9962"/>
        </w:tabs>
      </w:pPr>
      <w:hyperlink w:anchor="_Toc206314320" w:history="1">
        <w:r w:rsidR="00FA7D7A">
          <w:rPr>
            <w:rStyle w:val="Hyperlink"/>
            <w:rFonts w:cs="Arial"/>
            <w:szCs w:val="28"/>
          </w:rPr>
          <w:t>5.</w:t>
        </w:r>
        <w:r w:rsidR="00FA7D7A">
          <w:rPr>
            <w:rFonts w:ascii="Times New Roman" w:hAnsi="Times New Roman"/>
            <w:b w:val="0"/>
            <w:szCs w:val="24"/>
            <w:lang w:val="en-GB"/>
          </w:rPr>
          <w:tab/>
        </w:r>
        <w:r w:rsidR="00FA7D7A">
          <w:rPr>
            <w:rStyle w:val="Hyperlink"/>
            <w:rFonts w:cs="Arial"/>
            <w:szCs w:val="28"/>
          </w:rPr>
          <w:t>Policy Provisions</w:t>
        </w:r>
        <w:r w:rsidR="00FA7D7A">
          <w:rPr>
            <w:webHidden/>
          </w:rPr>
          <w:tab/>
        </w:r>
        <w:r>
          <w:rPr>
            <w:webHidden/>
          </w:rPr>
          <w:fldChar w:fldCharType="begin"/>
        </w:r>
        <w:r w:rsidR="00FA7D7A">
          <w:rPr>
            <w:webHidden/>
          </w:rPr>
          <w:instrText xml:space="preserve"> PAGEREF _Toc206314320 \h </w:instrText>
        </w:r>
        <w:r>
          <w:rPr>
            <w:webHidden/>
          </w:rPr>
        </w:r>
        <w:r>
          <w:rPr>
            <w:webHidden/>
          </w:rPr>
          <w:fldChar w:fldCharType="separate"/>
        </w:r>
        <w:r w:rsidR="000C47D8">
          <w:rPr>
            <w:webHidden/>
          </w:rPr>
          <w:t>6</w:t>
        </w:r>
        <w:r>
          <w:rPr>
            <w:webHidden/>
          </w:rPr>
          <w:fldChar w:fldCharType="end"/>
        </w:r>
      </w:hyperlink>
    </w:p>
    <w:p w:rsidR="008C0DDA" w:rsidRPr="008C0DDA" w:rsidRDefault="008C0DDA" w:rsidP="008C0DDA">
      <w:pPr>
        <w:rPr>
          <w:lang w:val="en-ZA"/>
        </w:rPr>
      </w:pPr>
    </w:p>
    <w:p w:rsidR="00FA7D7A" w:rsidRDefault="004C28D1" w:rsidP="00FA7D7A">
      <w:pPr>
        <w:pStyle w:val="TOC1"/>
        <w:tabs>
          <w:tab w:val="left" w:pos="660"/>
          <w:tab w:val="right" w:leader="dot" w:pos="9962"/>
        </w:tabs>
      </w:pPr>
      <w:hyperlink w:anchor="_Toc206314321" w:history="1">
        <w:r w:rsidR="00FA7D7A">
          <w:rPr>
            <w:rStyle w:val="Hyperlink"/>
            <w:rFonts w:cs="Arial"/>
            <w:szCs w:val="28"/>
          </w:rPr>
          <w:t>6.</w:t>
        </w:r>
        <w:r w:rsidR="00FA7D7A">
          <w:rPr>
            <w:rFonts w:ascii="Times New Roman" w:hAnsi="Times New Roman"/>
            <w:b w:val="0"/>
            <w:szCs w:val="24"/>
            <w:lang w:val="en-GB"/>
          </w:rPr>
          <w:tab/>
        </w:r>
        <w:r w:rsidR="00FA7D7A">
          <w:rPr>
            <w:rStyle w:val="Hyperlink"/>
            <w:rFonts w:cs="Arial"/>
            <w:szCs w:val="28"/>
          </w:rPr>
          <w:t>Procedures</w:t>
        </w:r>
        <w:r w:rsidR="00FA7D7A">
          <w:rPr>
            <w:webHidden/>
          </w:rPr>
          <w:tab/>
        </w:r>
        <w:r>
          <w:rPr>
            <w:webHidden/>
          </w:rPr>
          <w:fldChar w:fldCharType="begin"/>
        </w:r>
        <w:r w:rsidR="00FA7D7A">
          <w:rPr>
            <w:webHidden/>
          </w:rPr>
          <w:instrText xml:space="preserve"> PAGEREF _Toc206314321 \h </w:instrText>
        </w:r>
        <w:r>
          <w:rPr>
            <w:webHidden/>
          </w:rPr>
        </w:r>
        <w:r>
          <w:rPr>
            <w:webHidden/>
          </w:rPr>
          <w:fldChar w:fldCharType="separate"/>
        </w:r>
        <w:r w:rsidR="000C47D8">
          <w:rPr>
            <w:webHidden/>
          </w:rPr>
          <w:t>7</w:t>
        </w:r>
        <w:r>
          <w:rPr>
            <w:webHidden/>
          </w:rPr>
          <w:fldChar w:fldCharType="end"/>
        </w:r>
      </w:hyperlink>
    </w:p>
    <w:p w:rsidR="008C0DDA" w:rsidRPr="008C0DDA" w:rsidRDefault="008C0DDA" w:rsidP="008C0DDA">
      <w:pPr>
        <w:rPr>
          <w:lang w:val="en-ZA"/>
        </w:rPr>
      </w:pPr>
    </w:p>
    <w:p w:rsidR="00FA7D7A" w:rsidRDefault="004C28D1" w:rsidP="00FA7D7A">
      <w:pPr>
        <w:pStyle w:val="TOC1"/>
        <w:tabs>
          <w:tab w:val="left" w:pos="660"/>
          <w:tab w:val="right" w:leader="dot" w:pos="9962"/>
        </w:tabs>
      </w:pPr>
      <w:hyperlink w:anchor="_Toc206314322" w:history="1">
        <w:r w:rsidR="00FA7D7A">
          <w:rPr>
            <w:rStyle w:val="Hyperlink"/>
            <w:rFonts w:cs="Arial"/>
            <w:szCs w:val="28"/>
          </w:rPr>
          <w:t>7.</w:t>
        </w:r>
        <w:r w:rsidR="00FA7D7A">
          <w:rPr>
            <w:rFonts w:ascii="Times New Roman" w:hAnsi="Times New Roman"/>
            <w:b w:val="0"/>
            <w:szCs w:val="24"/>
            <w:lang w:val="en-GB"/>
          </w:rPr>
          <w:tab/>
        </w:r>
        <w:r w:rsidR="00AA4792">
          <w:rPr>
            <w:rStyle w:val="Hyperlink"/>
            <w:rFonts w:cs="Arial"/>
            <w:szCs w:val="28"/>
          </w:rPr>
          <w:t>Payment of Remuneration</w:t>
        </w:r>
        <w:r w:rsidR="00FA7D7A">
          <w:rPr>
            <w:webHidden/>
          </w:rPr>
          <w:tab/>
        </w:r>
        <w:r>
          <w:rPr>
            <w:webHidden/>
          </w:rPr>
          <w:fldChar w:fldCharType="begin"/>
        </w:r>
        <w:r w:rsidR="00FA7D7A">
          <w:rPr>
            <w:webHidden/>
          </w:rPr>
          <w:instrText xml:space="preserve"> PAGEREF _Toc206314322 \h </w:instrText>
        </w:r>
        <w:r>
          <w:rPr>
            <w:webHidden/>
          </w:rPr>
        </w:r>
        <w:r>
          <w:rPr>
            <w:webHidden/>
          </w:rPr>
          <w:fldChar w:fldCharType="separate"/>
        </w:r>
        <w:r w:rsidR="000C47D8">
          <w:rPr>
            <w:webHidden/>
          </w:rPr>
          <w:t>10</w:t>
        </w:r>
        <w:r>
          <w:rPr>
            <w:webHidden/>
          </w:rPr>
          <w:fldChar w:fldCharType="end"/>
        </w:r>
      </w:hyperlink>
    </w:p>
    <w:p w:rsidR="008C0DDA" w:rsidRPr="008C0DDA" w:rsidRDefault="008C0DDA" w:rsidP="008C0DDA">
      <w:pPr>
        <w:rPr>
          <w:lang w:val="en-ZA"/>
        </w:rPr>
      </w:pPr>
      <w:r>
        <w:rPr>
          <w:lang w:val="en-ZA"/>
        </w:rPr>
        <w:t xml:space="preserve">   </w:t>
      </w:r>
    </w:p>
    <w:p w:rsidR="00FA7D7A" w:rsidRDefault="008C0DDA" w:rsidP="00FA7D7A">
      <w:pPr>
        <w:pStyle w:val="TOC1"/>
        <w:tabs>
          <w:tab w:val="left" w:pos="660"/>
          <w:tab w:val="right" w:leader="dot" w:pos="9962"/>
        </w:tabs>
      </w:pPr>
      <w:r>
        <w:t>8</w:t>
      </w:r>
      <w:r w:rsidRPr="008C0DDA">
        <w:t>.</w:t>
      </w:r>
      <w:r w:rsidRPr="008C0DDA">
        <w:tab/>
      </w:r>
      <w:r>
        <w:t>Delegation</w:t>
      </w:r>
      <w:r w:rsidRPr="008C0DDA">
        <w:rPr>
          <w:webHidden/>
        </w:rPr>
        <w:tab/>
      </w:r>
      <w:r w:rsidR="004C28D1" w:rsidRPr="008C0DDA">
        <w:rPr>
          <w:webHidden/>
        </w:rPr>
        <w:fldChar w:fldCharType="begin"/>
      </w:r>
      <w:r w:rsidRPr="008C0DDA">
        <w:rPr>
          <w:webHidden/>
        </w:rPr>
        <w:instrText xml:space="preserve"> PAGEREF _Toc206314322 \h </w:instrText>
      </w:r>
      <w:r w:rsidR="004C28D1" w:rsidRPr="008C0DDA">
        <w:rPr>
          <w:webHidden/>
        </w:rPr>
      </w:r>
      <w:r w:rsidR="004C28D1" w:rsidRPr="008C0DDA">
        <w:rPr>
          <w:webHidden/>
        </w:rPr>
        <w:fldChar w:fldCharType="separate"/>
      </w:r>
      <w:r w:rsidRPr="008C0DDA">
        <w:rPr>
          <w:webHidden/>
        </w:rPr>
        <w:t>10</w:t>
      </w:r>
      <w:r w:rsidR="004C28D1" w:rsidRPr="008C0DDA">
        <w:rPr>
          <w:webHidden/>
        </w:rPr>
        <w:fldChar w:fldCharType="end"/>
      </w:r>
    </w:p>
    <w:p w:rsidR="00AA4792" w:rsidRPr="00AA4792" w:rsidRDefault="00AA4792" w:rsidP="00AA4792">
      <w:pPr>
        <w:rPr>
          <w:b/>
          <w:lang w:val="en-ZA"/>
        </w:rPr>
      </w:pPr>
    </w:p>
    <w:p w:rsidR="00FA7D7A" w:rsidRDefault="004C28D1" w:rsidP="00FA7D7A">
      <w:pPr>
        <w:pStyle w:val="Heading1"/>
        <w:spacing w:line="360" w:lineRule="auto"/>
        <w:jc w:val="both"/>
        <w:rPr>
          <w:rFonts w:ascii="Arial" w:hAnsi="Arial" w:cs="Arial"/>
        </w:rPr>
      </w:pPr>
      <w:r>
        <w:rPr>
          <w:rFonts w:ascii="Arial" w:hAnsi="Arial" w:cs="Arial"/>
        </w:rPr>
        <w:fldChar w:fldCharType="end"/>
      </w:r>
    </w:p>
    <w:p w:rsidR="00FA7D7A" w:rsidRDefault="00FA7D7A" w:rsidP="00FA7D7A"/>
    <w:p w:rsidR="00FA7D7A" w:rsidRDefault="00FA7D7A" w:rsidP="00FA7D7A"/>
    <w:p w:rsidR="00FA7D7A" w:rsidRDefault="00FA7D7A" w:rsidP="00FA7D7A"/>
    <w:p w:rsidR="00FA7D7A" w:rsidRDefault="00FA7D7A" w:rsidP="00FA7D7A"/>
    <w:p w:rsidR="00FA7D7A" w:rsidRDefault="00FA7D7A" w:rsidP="00FA7D7A"/>
    <w:p w:rsidR="00FA7D7A" w:rsidRDefault="00FA7D7A" w:rsidP="00FA7D7A"/>
    <w:p w:rsidR="00FA7D7A" w:rsidRDefault="00FA7D7A" w:rsidP="00FA7D7A"/>
    <w:p w:rsidR="00FA7D7A" w:rsidRDefault="00FA7D7A" w:rsidP="00FA7D7A"/>
    <w:p w:rsidR="00FA7D7A" w:rsidRDefault="00FA7D7A" w:rsidP="00FA7D7A"/>
    <w:p w:rsidR="00FA7D7A" w:rsidRDefault="00FA7D7A" w:rsidP="00FA7D7A"/>
    <w:p w:rsidR="00FA7D7A" w:rsidRDefault="00FA7D7A" w:rsidP="00FA7D7A"/>
    <w:p w:rsidR="00FA7D7A" w:rsidRDefault="00FA7D7A" w:rsidP="00FA7D7A"/>
    <w:p w:rsidR="00FA7D7A" w:rsidRDefault="00FA7D7A" w:rsidP="00FA7D7A"/>
    <w:p w:rsidR="00FA7D7A" w:rsidRDefault="00FA7D7A" w:rsidP="00FA7D7A"/>
    <w:p w:rsidR="00FA7D7A" w:rsidRDefault="00FA7D7A" w:rsidP="00FA7D7A"/>
    <w:p w:rsidR="00FA7D7A" w:rsidRDefault="00FA7D7A" w:rsidP="00FA7D7A"/>
    <w:p w:rsidR="00FA7D7A" w:rsidRDefault="00FA7D7A" w:rsidP="00FA7D7A"/>
    <w:p w:rsidR="00FA7D7A" w:rsidRDefault="00FA7D7A" w:rsidP="00FA7D7A"/>
    <w:p w:rsidR="00FA7D7A" w:rsidRDefault="00FA7D7A" w:rsidP="00FA7D7A"/>
    <w:p w:rsidR="00FA7D7A" w:rsidRDefault="00FA7D7A" w:rsidP="00FA7D7A"/>
    <w:p w:rsidR="00FA7D7A" w:rsidRDefault="00FA7D7A" w:rsidP="00FA7D7A"/>
    <w:p w:rsidR="00FA7D7A" w:rsidRDefault="00FA7D7A" w:rsidP="00FA7D7A"/>
    <w:p w:rsidR="00FA7D7A" w:rsidRDefault="00FA7D7A" w:rsidP="00FA7D7A"/>
    <w:p w:rsidR="00FA7D7A" w:rsidRDefault="00FA7D7A" w:rsidP="00FA7D7A"/>
    <w:p w:rsidR="00FA7D7A" w:rsidRDefault="00FA7D7A" w:rsidP="00FA7D7A"/>
    <w:p w:rsidR="00FA7D7A" w:rsidRDefault="00FA7D7A" w:rsidP="00FA7D7A"/>
    <w:p w:rsidR="00FA7D7A" w:rsidRDefault="00FA7D7A" w:rsidP="00FA7D7A"/>
    <w:p w:rsidR="00AC0049" w:rsidRDefault="00AC0049" w:rsidP="00FA7D7A"/>
    <w:p w:rsidR="00AC0049" w:rsidRDefault="00AC0049" w:rsidP="00FA7D7A"/>
    <w:p w:rsidR="00AC0049" w:rsidRDefault="00AC0049" w:rsidP="00FA7D7A"/>
    <w:p w:rsidR="00AC0049" w:rsidRDefault="00AC0049" w:rsidP="00FA7D7A"/>
    <w:p w:rsidR="00AC0049" w:rsidRDefault="00AC0049" w:rsidP="00FA7D7A"/>
    <w:p w:rsidR="00AC0049" w:rsidRDefault="00AC0049" w:rsidP="00FA7D7A"/>
    <w:p w:rsidR="00AC0049" w:rsidRDefault="00AC0049" w:rsidP="00FA7D7A"/>
    <w:p w:rsidR="00AC0049" w:rsidRDefault="00AC0049" w:rsidP="00FA7D7A"/>
    <w:p w:rsidR="00AC0049" w:rsidRDefault="00AC0049" w:rsidP="00FA7D7A"/>
    <w:p w:rsidR="00AC0049" w:rsidRDefault="00AC0049" w:rsidP="00FA7D7A"/>
    <w:p w:rsidR="00AC0049" w:rsidRDefault="00AC0049" w:rsidP="00FA7D7A"/>
    <w:p w:rsidR="00FA7D7A" w:rsidRDefault="00FA7D7A" w:rsidP="00FA7D7A"/>
    <w:p w:rsidR="00FA7D7A" w:rsidRDefault="00FA7D7A" w:rsidP="00FA7D7A"/>
    <w:p w:rsidR="00FA7D7A" w:rsidRDefault="00FA7D7A" w:rsidP="00FA7D7A"/>
    <w:p w:rsidR="00FA7D7A" w:rsidRDefault="00FA7D7A" w:rsidP="00FA7D7A"/>
    <w:p w:rsidR="00FA7D7A" w:rsidRDefault="00FA7D7A" w:rsidP="00AA4792">
      <w:pPr>
        <w:pStyle w:val="Heading1"/>
        <w:numPr>
          <w:ilvl w:val="0"/>
          <w:numId w:val="3"/>
        </w:numPr>
        <w:tabs>
          <w:tab w:val="clear" w:pos="360"/>
          <w:tab w:val="num" w:pos="540"/>
        </w:tabs>
        <w:spacing w:line="360" w:lineRule="auto"/>
        <w:jc w:val="both"/>
        <w:rPr>
          <w:rFonts w:ascii="Arial" w:hAnsi="Arial" w:cs="Arial"/>
        </w:rPr>
      </w:pPr>
      <w:bookmarkStart w:id="1" w:name="_Toc206314316"/>
      <w:r>
        <w:rPr>
          <w:rFonts w:ascii="Arial" w:hAnsi="Arial" w:cs="Arial"/>
        </w:rPr>
        <w:t>Purpose</w:t>
      </w:r>
      <w:bookmarkEnd w:id="1"/>
    </w:p>
    <w:p w:rsidR="00FA7D7A" w:rsidRDefault="00FA7D7A" w:rsidP="00FA7D7A">
      <w:pPr>
        <w:pStyle w:val="Footer"/>
        <w:tabs>
          <w:tab w:val="clear" w:pos="4320"/>
          <w:tab w:val="clear" w:pos="8640"/>
        </w:tabs>
        <w:spacing w:line="360" w:lineRule="auto"/>
        <w:jc w:val="both"/>
        <w:rPr>
          <w:rFonts w:cs="Arial"/>
        </w:rPr>
      </w:pPr>
    </w:p>
    <w:p w:rsidR="00FA7D7A" w:rsidRDefault="00FA7D7A" w:rsidP="00AA4792">
      <w:pPr>
        <w:pStyle w:val="NormalOut"/>
        <w:numPr>
          <w:ilvl w:val="1"/>
          <w:numId w:val="5"/>
        </w:numPr>
        <w:spacing w:line="360" w:lineRule="auto"/>
        <w:rPr>
          <w:rFonts w:ascii="Arial" w:hAnsi="Arial" w:cs="Arial"/>
          <w:szCs w:val="24"/>
        </w:rPr>
      </w:pPr>
      <w:r>
        <w:rPr>
          <w:rFonts w:ascii="Arial" w:hAnsi="Arial" w:cs="Arial"/>
        </w:rPr>
        <w:t>The purpose of this policy is to guide Ba-Phalaborwa Local Municipality in the management of its remuneration so as to attract, and retain critical skills necessary for the fulfilment of the municipal mandate.</w:t>
      </w:r>
    </w:p>
    <w:p w:rsidR="00FA7D7A" w:rsidRDefault="00FA7D7A" w:rsidP="00FA7D7A">
      <w:pPr>
        <w:pStyle w:val="NormalOut"/>
        <w:spacing w:line="360" w:lineRule="auto"/>
        <w:rPr>
          <w:rFonts w:ascii="Arial" w:hAnsi="Arial" w:cs="Arial"/>
        </w:rPr>
      </w:pPr>
    </w:p>
    <w:p w:rsidR="00FA7D7A" w:rsidRDefault="00FA7D7A" w:rsidP="00FA7D7A">
      <w:pPr>
        <w:pStyle w:val="Heading1"/>
        <w:spacing w:line="360" w:lineRule="auto"/>
        <w:jc w:val="both"/>
        <w:rPr>
          <w:rFonts w:ascii="Arial" w:hAnsi="Arial" w:cs="Arial"/>
          <w:sz w:val="24"/>
        </w:rPr>
      </w:pPr>
    </w:p>
    <w:p w:rsidR="00FA7D7A" w:rsidRDefault="00FA7D7A" w:rsidP="00AA4792">
      <w:pPr>
        <w:pStyle w:val="Heading1"/>
        <w:numPr>
          <w:ilvl w:val="0"/>
          <w:numId w:val="3"/>
        </w:numPr>
        <w:tabs>
          <w:tab w:val="clear" w:pos="360"/>
          <w:tab w:val="num" w:pos="540"/>
        </w:tabs>
        <w:ind w:left="540" w:hanging="540"/>
        <w:jc w:val="both"/>
        <w:rPr>
          <w:rFonts w:ascii="Arial" w:hAnsi="Arial" w:cs="Arial"/>
        </w:rPr>
      </w:pPr>
      <w:bookmarkStart w:id="2" w:name="_Toc206314317"/>
      <w:r>
        <w:rPr>
          <w:rFonts w:ascii="Arial" w:hAnsi="Arial" w:cs="Arial"/>
        </w:rPr>
        <w:t>Scope</w:t>
      </w:r>
      <w:bookmarkEnd w:id="2"/>
    </w:p>
    <w:p w:rsidR="00FA7D7A" w:rsidRDefault="00FA7D7A" w:rsidP="00FA7D7A">
      <w:pPr>
        <w:spacing w:line="360" w:lineRule="auto"/>
        <w:jc w:val="both"/>
        <w:rPr>
          <w:rFonts w:cs="Arial"/>
        </w:rPr>
      </w:pPr>
    </w:p>
    <w:p w:rsidR="00FA7D7A" w:rsidRDefault="00FA7D7A" w:rsidP="00AA4792">
      <w:pPr>
        <w:pStyle w:val="NormalOut"/>
        <w:numPr>
          <w:ilvl w:val="1"/>
          <w:numId w:val="6"/>
        </w:numPr>
        <w:spacing w:line="360" w:lineRule="auto"/>
        <w:rPr>
          <w:rFonts w:ascii="Arial" w:hAnsi="Arial" w:cs="Arial"/>
          <w:szCs w:val="24"/>
        </w:rPr>
      </w:pPr>
      <w:r>
        <w:rPr>
          <w:rFonts w:ascii="Arial" w:hAnsi="Arial" w:cs="Arial"/>
        </w:rPr>
        <w:t>This policy will apply to all employees of Ba-Phalaborwa Local Municipality save for the Municipal Manager and Managers reporting directly to the Municipal Manager in terms of sections 56 and 57 of the Municipal Systems Act of 2000.</w:t>
      </w:r>
    </w:p>
    <w:p w:rsidR="00FA7D7A" w:rsidRDefault="00FA7D7A" w:rsidP="00FA7D7A">
      <w:pPr>
        <w:spacing w:line="360" w:lineRule="auto"/>
        <w:jc w:val="both"/>
        <w:rPr>
          <w:rFonts w:cs="Arial"/>
          <w:sz w:val="22"/>
        </w:rPr>
      </w:pPr>
    </w:p>
    <w:p w:rsidR="00FA7D7A" w:rsidRDefault="00FA7D7A" w:rsidP="00FA7D7A">
      <w:pPr>
        <w:pStyle w:val="BodyText2"/>
        <w:spacing w:line="360" w:lineRule="auto"/>
        <w:jc w:val="both"/>
        <w:rPr>
          <w:rFonts w:cs="Arial"/>
          <w:sz w:val="24"/>
        </w:rPr>
      </w:pPr>
    </w:p>
    <w:p w:rsidR="00FA7D7A" w:rsidRDefault="00FA7D7A" w:rsidP="00AA4792">
      <w:pPr>
        <w:pStyle w:val="Heading1"/>
        <w:numPr>
          <w:ilvl w:val="0"/>
          <w:numId w:val="3"/>
        </w:numPr>
        <w:tabs>
          <w:tab w:val="clear" w:pos="360"/>
          <w:tab w:val="num" w:pos="540"/>
        </w:tabs>
        <w:ind w:left="540" w:hanging="540"/>
        <w:jc w:val="both"/>
        <w:rPr>
          <w:rFonts w:ascii="Arial" w:hAnsi="Arial" w:cs="Arial"/>
        </w:rPr>
      </w:pPr>
      <w:bookmarkStart w:id="3" w:name="_Toc206314318"/>
      <w:r>
        <w:rPr>
          <w:rFonts w:ascii="Arial" w:hAnsi="Arial" w:cs="Arial"/>
        </w:rPr>
        <w:t>Definitions</w:t>
      </w:r>
      <w:bookmarkEnd w:id="3"/>
    </w:p>
    <w:p w:rsidR="00FA7D7A" w:rsidRDefault="00FA7D7A" w:rsidP="00FA7D7A">
      <w:pPr>
        <w:pStyle w:val="Footer"/>
        <w:tabs>
          <w:tab w:val="clear" w:pos="4320"/>
          <w:tab w:val="clear" w:pos="8640"/>
        </w:tabs>
        <w:spacing w:line="360" w:lineRule="auto"/>
        <w:rPr>
          <w:rFonts w:cs="Arial"/>
        </w:rPr>
      </w:pPr>
    </w:p>
    <w:p w:rsidR="00FA7D7A" w:rsidRDefault="00FA7D7A" w:rsidP="00AA4792">
      <w:pPr>
        <w:pStyle w:val="NormalOut"/>
        <w:numPr>
          <w:ilvl w:val="1"/>
          <w:numId w:val="7"/>
        </w:numPr>
        <w:tabs>
          <w:tab w:val="clear" w:pos="720"/>
          <w:tab w:val="num" w:pos="540"/>
        </w:tabs>
        <w:spacing w:line="360" w:lineRule="auto"/>
        <w:ind w:left="540" w:hanging="540"/>
        <w:rPr>
          <w:rFonts w:ascii="Arial" w:hAnsi="Arial" w:cs="Arial"/>
          <w:szCs w:val="24"/>
        </w:rPr>
      </w:pPr>
      <w:r>
        <w:rPr>
          <w:rFonts w:ascii="Arial" w:hAnsi="Arial" w:cs="Arial"/>
          <w:bCs/>
        </w:rPr>
        <w:t>The following definitions will apply in this policy:</w:t>
      </w:r>
    </w:p>
    <w:p w:rsidR="00FA7D7A" w:rsidRDefault="00FA7D7A" w:rsidP="00FA7D7A">
      <w:pPr>
        <w:pStyle w:val="NormalOut"/>
        <w:spacing w:line="360" w:lineRule="auto"/>
        <w:rPr>
          <w:rFonts w:ascii="Arial" w:hAnsi="Arial" w:cs="Arial"/>
          <w:szCs w:val="24"/>
        </w:rPr>
      </w:pPr>
    </w:p>
    <w:p w:rsidR="00FA7D7A" w:rsidRDefault="00FA7D7A" w:rsidP="00AA4792">
      <w:pPr>
        <w:numPr>
          <w:ilvl w:val="2"/>
          <w:numId w:val="7"/>
        </w:numPr>
        <w:spacing w:line="360" w:lineRule="auto"/>
        <w:jc w:val="both"/>
        <w:rPr>
          <w:rFonts w:cs="Arial"/>
          <w:sz w:val="22"/>
        </w:rPr>
      </w:pPr>
      <w:bookmarkStart w:id="4" w:name="_Toc202074147"/>
      <w:r>
        <w:rPr>
          <w:rFonts w:cs="Arial"/>
          <w:b/>
          <w:sz w:val="22"/>
        </w:rPr>
        <w:t>Job Evaluation</w:t>
      </w:r>
      <w:r>
        <w:rPr>
          <w:rFonts w:cs="Arial"/>
          <w:bCs/>
          <w:sz w:val="22"/>
        </w:rPr>
        <w:t xml:space="preserve"> is a systematic process of defining the relative worth of jobs within an organisation in order to establish an equitable job grading structure. </w:t>
      </w:r>
      <w:bookmarkEnd w:id="4"/>
    </w:p>
    <w:p w:rsidR="00FA7D7A" w:rsidRDefault="00FA7D7A" w:rsidP="00AA4792">
      <w:pPr>
        <w:numPr>
          <w:ilvl w:val="2"/>
          <w:numId w:val="7"/>
        </w:numPr>
        <w:spacing w:line="360" w:lineRule="auto"/>
        <w:jc w:val="both"/>
        <w:rPr>
          <w:rFonts w:cs="Arial"/>
          <w:sz w:val="22"/>
        </w:rPr>
      </w:pPr>
      <w:r>
        <w:rPr>
          <w:rFonts w:cs="Arial"/>
          <w:b/>
          <w:sz w:val="22"/>
        </w:rPr>
        <w:t>Base or basic pay</w:t>
      </w:r>
      <w:r>
        <w:rPr>
          <w:rFonts w:cs="Arial"/>
          <w:bCs/>
          <w:sz w:val="22"/>
        </w:rPr>
        <w:t xml:space="preserve"> is the amount of pay that constitutes the rate for the job. It refers to the cash component of monthly remuneration without benefits and prerequisites.</w:t>
      </w:r>
    </w:p>
    <w:p w:rsidR="00FA7D7A" w:rsidRDefault="00FA7D7A" w:rsidP="00AA4792">
      <w:pPr>
        <w:numPr>
          <w:ilvl w:val="2"/>
          <w:numId w:val="7"/>
        </w:numPr>
        <w:spacing w:line="360" w:lineRule="auto"/>
        <w:jc w:val="both"/>
        <w:rPr>
          <w:rFonts w:cs="Arial"/>
          <w:sz w:val="22"/>
        </w:rPr>
      </w:pPr>
      <w:r>
        <w:rPr>
          <w:rFonts w:cs="Arial"/>
          <w:b/>
          <w:sz w:val="22"/>
        </w:rPr>
        <w:t xml:space="preserve">Total cost of employment </w:t>
      </w:r>
      <w:r>
        <w:rPr>
          <w:rFonts w:cs="Arial"/>
          <w:bCs/>
          <w:sz w:val="22"/>
        </w:rPr>
        <w:t xml:space="preserve">refers to a combination of base pay and employee benefits. </w:t>
      </w:r>
    </w:p>
    <w:p w:rsidR="00FA7D7A" w:rsidRDefault="00FA7D7A" w:rsidP="00AA4792">
      <w:pPr>
        <w:numPr>
          <w:ilvl w:val="2"/>
          <w:numId w:val="7"/>
        </w:numPr>
        <w:spacing w:line="360" w:lineRule="auto"/>
        <w:jc w:val="both"/>
        <w:rPr>
          <w:rFonts w:cs="Arial"/>
          <w:sz w:val="22"/>
        </w:rPr>
      </w:pPr>
      <w:r>
        <w:rPr>
          <w:rFonts w:cs="Arial"/>
          <w:b/>
          <w:sz w:val="22"/>
        </w:rPr>
        <w:t xml:space="preserve">Market rate analysis </w:t>
      </w:r>
      <w:r>
        <w:rPr>
          <w:rFonts w:cs="Arial"/>
          <w:bCs/>
          <w:sz w:val="22"/>
        </w:rPr>
        <w:t>is the process of identifying the rates of pay in the labour market for comparable jobs so as to inform decisions on levels of pay within the organisation.</w:t>
      </w:r>
    </w:p>
    <w:p w:rsidR="00FA7D7A" w:rsidRDefault="00FA7D7A" w:rsidP="00AA4792">
      <w:pPr>
        <w:numPr>
          <w:ilvl w:val="2"/>
          <w:numId w:val="7"/>
        </w:numPr>
        <w:spacing w:line="360" w:lineRule="auto"/>
        <w:jc w:val="both"/>
        <w:rPr>
          <w:rFonts w:cs="Arial"/>
          <w:sz w:val="22"/>
        </w:rPr>
      </w:pPr>
      <w:r>
        <w:rPr>
          <w:rFonts w:cs="Arial"/>
          <w:b/>
          <w:sz w:val="22"/>
        </w:rPr>
        <w:t xml:space="preserve">Employment benefits </w:t>
      </w:r>
      <w:r>
        <w:rPr>
          <w:rFonts w:cs="Arial"/>
          <w:bCs/>
          <w:sz w:val="22"/>
        </w:rPr>
        <w:t xml:space="preserve">include pension, leave, travel allowance, housing allowance, </w:t>
      </w:r>
      <w:r w:rsidR="00A679CC">
        <w:rPr>
          <w:rFonts w:cs="Arial"/>
          <w:bCs/>
          <w:sz w:val="22"/>
        </w:rPr>
        <w:t>cell phone</w:t>
      </w:r>
      <w:r>
        <w:rPr>
          <w:rFonts w:cs="Arial"/>
          <w:bCs/>
          <w:sz w:val="22"/>
        </w:rPr>
        <w:t xml:space="preserve"> allowance, medical aid etc.</w:t>
      </w:r>
    </w:p>
    <w:p w:rsidR="00FA7D7A" w:rsidRDefault="00FA7D7A" w:rsidP="00AA4792">
      <w:pPr>
        <w:numPr>
          <w:ilvl w:val="2"/>
          <w:numId w:val="7"/>
        </w:numPr>
        <w:spacing w:line="360" w:lineRule="auto"/>
        <w:jc w:val="both"/>
        <w:rPr>
          <w:rFonts w:cs="Arial"/>
          <w:sz w:val="22"/>
        </w:rPr>
      </w:pPr>
      <w:r>
        <w:rPr>
          <w:rFonts w:cs="Arial"/>
          <w:b/>
          <w:sz w:val="22"/>
        </w:rPr>
        <w:t xml:space="preserve">Performance management processes </w:t>
      </w:r>
      <w:r>
        <w:rPr>
          <w:rFonts w:cs="Arial"/>
          <w:bCs/>
          <w:sz w:val="22"/>
        </w:rPr>
        <w:t xml:space="preserve">define individual performance and contribution expectations; assess performance against those expectations; provide regular </w:t>
      </w:r>
      <w:r>
        <w:rPr>
          <w:rFonts w:cs="Arial"/>
          <w:bCs/>
          <w:sz w:val="22"/>
        </w:rPr>
        <w:lastRenderedPageBreak/>
        <w:t>constructive feedback; and result in agreed plans for performance improvement, learning and personal development.</w:t>
      </w:r>
    </w:p>
    <w:p w:rsidR="00FA7D7A" w:rsidRDefault="00FA7D7A" w:rsidP="00AA4792">
      <w:pPr>
        <w:numPr>
          <w:ilvl w:val="2"/>
          <w:numId w:val="7"/>
        </w:numPr>
        <w:spacing w:line="360" w:lineRule="auto"/>
        <w:jc w:val="both"/>
        <w:rPr>
          <w:rFonts w:cs="Arial"/>
          <w:sz w:val="22"/>
        </w:rPr>
      </w:pPr>
      <w:r>
        <w:rPr>
          <w:rFonts w:cs="Arial"/>
          <w:b/>
          <w:sz w:val="22"/>
        </w:rPr>
        <w:t xml:space="preserve">Non-financial rewards </w:t>
      </w:r>
      <w:r>
        <w:rPr>
          <w:rFonts w:cs="Arial"/>
          <w:bCs/>
          <w:sz w:val="22"/>
        </w:rPr>
        <w:t>are rewards that do not involve any direct cash payments and often arise from the recognition of extra-ordinary effort ‘beyond the call of duty’</w:t>
      </w:r>
    </w:p>
    <w:p w:rsidR="00FA7D7A" w:rsidRDefault="00FA7D7A" w:rsidP="00FA7D7A">
      <w:pPr>
        <w:spacing w:line="360" w:lineRule="auto"/>
        <w:jc w:val="both"/>
        <w:rPr>
          <w:rFonts w:cs="Arial"/>
          <w:bCs/>
        </w:rPr>
      </w:pPr>
    </w:p>
    <w:p w:rsidR="00FA7D7A" w:rsidRDefault="00FA7D7A" w:rsidP="00AA4792">
      <w:pPr>
        <w:pStyle w:val="Heading1"/>
        <w:numPr>
          <w:ilvl w:val="0"/>
          <w:numId w:val="3"/>
        </w:numPr>
        <w:tabs>
          <w:tab w:val="clear" w:pos="360"/>
          <w:tab w:val="num" w:pos="540"/>
        </w:tabs>
        <w:ind w:left="540" w:hanging="540"/>
        <w:jc w:val="both"/>
        <w:rPr>
          <w:rFonts w:ascii="Arial" w:hAnsi="Arial" w:cs="Arial"/>
        </w:rPr>
      </w:pPr>
      <w:bookmarkStart w:id="5" w:name="_Toc206314319"/>
      <w:r>
        <w:rPr>
          <w:rFonts w:ascii="Arial" w:hAnsi="Arial" w:cs="Arial"/>
        </w:rPr>
        <w:t>Principles</w:t>
      </w:r>
      <w:bookmarkEnd w:id="5"/>
    </w:p>
    <w:p w:rsidR="00FA7D7A" w:rsidRDefault="00FA7D7A" w:rsidP="00FA7D7A"/>
    <w:p w:rsidR="00FA7D7A" w:rsidRDefault="00FA7D7A" w:rsidP="00AA4792">
      <w:pPr>
        <w:numPr>
          <w:ilvl w:val="1"/>
          <w:numId w:val="2"/>
        </w:numPr>
        <w:tabs>
          <w:tab w:val="clear" w:pos="705"/>
          <w:tab w:val="num" w:pos="540"/>
        </w:tabs>
        <w:spacing w:before="240" w:line="360" w:lineRule="auto"/>
        <w:ind w:left="540" w:hanging="540"/>
        <w:jc w:val="both"/>
        <w:rPr>
          <w:rFonts w:cs="Arial"/>
          <w:sz w:val="22"/>
        </w:rPr>
      </w:pPr>
      <w:r>
        <w:rPr>
          <w:rFonts w:cs="Arial"/>
          <w:sz w:val="22"/>
        </w:rPr>
        <w:t>The following principles underpin this remuneration policy:</w:t>
      </w:r>
    </w:p>
    <w:p w:rsidR="00FA7D7A" w:rsidRDefault="00FA7D7A" w:rsidP="00AA4792">
      <w:pPr>
        <w:numPr>
          <w:ilvl w:val="2"/>
          <w:numId w:val="2"/>
        </w:numPr>
        <w:spacing w:before="240" w:line="360" w:lineRule="auto"/>
        <w:jc w:val="both"/>
        <w:rPr>
          <w:rFonts w:cs="Arial"/>
          <w:sz w:val="22"/>
        </w:rPr>
      </w:pPr>
      <w:r>
        <w:rPr>
          <w:rFonts w:cs="Arial"/>
          <w:sz w:val="22"/>
        </w:rPr>
        <w:t>The remuneration policy and practice will support the attainment of the Municipality’s strategic objectives.</w:t>
      </w:r>
    </w:p>
    <w:p w:rsidR="00FA7D7A" w:rsidRDefault="00FA7D7A" w:rsidP="00AA4792">
      <w:pPr>
        <w:numPr>
          <w:ilvl w:val="2"/>
          <w:numId w:val="2"/>
        </w:numPr>
        <w:spacing w:before="240" w:line="360" w:lineRule="auto"/>
        <w:jc w:val="both"/>
        <w:rPr>
          <w:rFonts w:cs="Arial"/>
          <w:sz w:val="22"/>
        </w:rPr>
      </w:pPr>
      <w:r>
        <w:rPr>
          <w:rFonts w:cs="Arial"/>
          <w:sz w:val="22"/>
        </w:rPr>
        <w:t>The Municipality’s remuneration policy seeks to attract, retain and motivate staff.</w:t>
      </w:r>
    </w:p>
    <w:p w:rsidR="00FA7D7A" w:rsidRDefault="00FA7D7A" w:rsidP="00AA4792">
      <w:pPr>
        <w:numPr>
          <w:ilvl w:val="2"/>
          <w:numId w:val="2"/>
        </w:numPr>
        <w:spacing w:before="240" w:line="360" w:lineRule="auto"/>
        <w:jc w:val="both"/>
        <w:rPr>
          <w:rFonts w:cs="Arial"/>
          <w:sz w:val="22"/>
        </w:rPr>
      </w:pPr>
      <w:r>
        <w:rPr>
          <w:rFonts w:cs="Arial"/>
          <w:sz w:val="22"/>
        </w:rPr>
        <w:t xml:space="preserve">The Municipality will reward employees according to the effective execution of the jobs that they occupy and value contribution as determined by the performance management system. </w:t>
      </w:r>
    </w:p>
    <w:p w:rsidR="00FA7D7A" w:rsidRDefault="00FA7D7A" w:rsidP="00AA4792">
      <w:pPr>
        <w:numPr>
          <w:ilvl w:val="2"/>
          <w:numId w:val="2"/>
        </w:numPr>
        <w:spacing w:before="240" w:line="360" w:lineRule="auto"/>
        <w:jc w:val="both"/>
        <w:rPr>
          <w:rFonts w:cs="Arial"/>
          <w:sz w:val="22"/>
        </w:rPr>
      </w:pPr>
      <w:r>
        <w:rPr>
          <w:rFonts w:cs="Arial"/>
          <w:sz w:val="22"/>
        </w:rPr>
        <w:t>The Municipality will allow reasonable flexibility, within the law, in the operation of reward processes and in the choice of benefits by employees.</w:t>
      </w:r>
    </w:p>
    <w:p w:rsidR="00FA7D7A" w:rsidRDefault="00FA7D7A" w:rsidP="00AA4792">
      <w:pPr>
        <w:numPr>
          <w:ilvl w:val="2"/>
          <w:numId w:val="2"/>
        </w:numPr>
        <w:spacing w:before="240" w:line="360" w:lineRule="auto"/>
        <w:jc w:val="both"/>
        <w:rPr>
          <w:rFonts w:cs="Arial"/>
          <w:sz w:val="22"/>
        </w:rPr>
      </w:pPr>
      <w:r>
        <w:rPr>
          <w:rFonts w:cs="Arial"/>
          <w:sz w:val="22"/>
        </w:rPr>
        <w:t>The remuneration policy will be influenced by affordability and sustainability factors.</w:t>
      </w:r>
    </w:p>
    <w:p w:rsidR="00FA7D7A" w:rsidRDefault="00FA7D7A" w:rsidP="00FA7D7A">
      <w:pPr>
        <w:pStyle w:val="Header"/>
        <w:tabs>
          <w:tab w:val="clear" w:pos="4320"/>
          <w:tab w:val="clear" w:pos="8640"/>
          <w:tab w:val="num" w:pos="0"/>
          <w:tab w:val="num" w:pos="709"/>
        </w:tabs>
        <w:spacing w:line="360" w:lineRule="auto"/>
        <w:jc w:val="both"/>
        <w:rPr>
          <w:rFonts w:cs="Arial"/>
        </w:rPr>
      </w:pPr>
    </w:p>
    <w:p w:rsidR="00FA7D7A" w:rsidRDefault="00FA7D7A" w:rsidP="00AA4792">
      <w:pPr>
        <w:pStyle w:val="Heading1"/>
        <w:numPr>
          <w:ilvl w:val="0"/>
          <w:numId w:val="3"/>
        </w:numPr>
        <w:tabs>
          <w:tab w:val="clear" w:pos="360"/>
          <w:tab w:val="num" w:pos="540"/>
        </w:tabs>
        <w:ind w:left="540" w:hanging="540"/>
        <w:jc w:val="both"/>
        <w:rPr>
          <w:rFonts w:ascii="Arial" w:hAnsi="Arial" w:cs="Arial"/>
        </w:rPr>
      </w:pPr>
      <w:bookmarkStart w:id="6" w:name="_Toc206314320"/>
      <w:r>
        <w:rPr>
          <w:rFonts w:ascii="Arial" w:hAnsi="Arial" w:cs="Arial"/>
        </w:rPr>
        <w:t>Policy Provisions</w:t>
      </w:r>
      <w:bookmarkEnd w:id="6"/>
    </w:p>
    <w:p w:rsidR="00FA7D7A" w:rsidRDefault="00FA7D7A" w:rsidP="00FA7D7A"/>
    <w:p w:rsidR="00FA7D7A" w:rsidRDefault="00FA7D7A" w:rsidP="00AA4792">
      <w:pPr>
        <w:numPr>
          <w:ilvl w:val="1"/>
          <w:numId w:val="8"/>
        </w:numPr>
        <w:tabs>
          <w:tab w:val="clear" w:pos="360"/>
          <w:tab w:val="num" w:pos="540"/>
        </w:tabs>
        <w:spacing w:before="240" w:line="360" w:lineRule="auto"/>
        <w:ind w:left="540" w:hanging="540"/>
        <w:jc w:val="both"/>
        <w:rPr>
          <w:rFonts w:cs="Arial"/>
          <w:b/>
          <w:bCs/>
          <w:sz w:val="22"/>
        </w:rPr>
      </w:pPr>
      <w:r>
        <w:rPr>
          <w:rFonts w:cs="Arial"/>
          <w:sz w:val="22"/>
        </w:rPr>
        <w:t>The Municipality will remunerate its employee’s fair and competitive salaries, taking into cognisance prevailing market rates in similar organisations and the ability of the municipality to sustain the salaries budget.</w:t>
      </w:r>
    </w:p>
    <w:p w:rsidR="00FA7D7A" w:rsidRDefault="00FA7D7A" w:rsidP="00AA4792">
      <w:pPr>
        <w:numPr>
          <w:ilvl w:val="1"/>
          <w:numId w:val="8"/>
        </w:numPr>
        <w:tabs>
          <w:tab w:val="clear" w:pos="360"/>
          <w:tab w:val="num" w:pos="540"/>
        </w:tabs>
        <w:spacing w:before="240" w:line="360" w:lineRule="auto"/>
        <w:ind w:left="540" w:hanging="540"/>
        <w:jc w:val="both"/>
        <w:rPr>
          <w:rFonts w:cs="Arial"/>
          <w:sz w:val="22"/>
        </w:rPr>
      </w:pPr>
      <w:r>
        <w:rPr>
          <w:rFonts w:cs="Arial"/>
          <w:sz w:val="22"/>
        </w:rPr>
        <w:t>The Municipality will reward its employee’s equal pay for similar work and will not discriminate based on gender or age.</w:t>
      </w:r>
    </w:p>
    <w:p w:rsidR="00FA7D7A" w:rsidRDefault="00FA7D7A" w:rsidP="00AA4792">
      <w:pPr>
        <w:numPr>
          <w:ilvl w:val="1"/>
          <w:numId w:val="8"/>
        </w:numPr>
        <w:tabs>
          <w:tab w:val="clear" w:pos="360"/>
          <w:tab w:val="num" w:pos="540"/>
        </w:tabs>
        <w:spacing w:before="240" w:line="360" w:lineRule="auto"/>
        <w:ind w:left="540" w:hanging="540"/>
        <w:jc w:val="both"/>
        <w:rPr>
          <w:rFonts w:cs="Arial"/>
          <w:sz w:val="22"/>
        </w:rPr>
      </w:pPr>
      <w:r>
        <w:rPr>
          <w:rFonts w:cs="Arial"/>
          <w:sz w:val="22"/>
        </w:rPr>
        <w:t>Competence will be used to determine the level of remuneration, as guided by the municipality’s performance management policy.</w:t>
      </w:r>
    </w:p>
    <w:p w:rsidR="00FA7D7A" w:rsidRDefault="00FA7D7A" w:rsidP="00AA4792">
      <w:pPr>
        <w:numPr>
          <w:ilvl w:val="1"/>
          <w:numId w:val="8"/>
        </w:numPr>
        <w:tabs>
          <w:tab w:val="clear" w:pos="360"/>
          <w:tab w:val="num" w:pos="540"/>
        </w:tabs>
        <w:spacing w:before="240" w:line="360" w:lineRule="auto"/>
        <w:jc w:val="both"/>
      </w:pPr>
      <w:r>
        <w:rPr>
          <w:rFonts w:cs="Arial"/>
          <w:sz w:val="22"/>
        </w:rPr>
        <w:t>Remuneration levels will take cognisance of both internal equity and external competitiveness</w:t>
      </w:r>
    </w:p>
    <w:p w:rsidR="00FA7D7A" w:rsidRDefault="00FA7D7A" w:rsidP="00AA4792">
      <w:pPr>
        <w:numPr>
          <w:ilvl w:val="1"/>
          <w:numId w:val="8"/>
        </w:numPr>
        <w:tabs>
          <w:tab w:val="clear" w:pos="360"/>
          <w:tab w:val="num" w:pos="540"/>
        </w:tabs>
        <w:spacing w:before="240" w:line="360" w:lineRule="auto"/>
        <w:ind w:left="540" w:hanging="540"/>
        <w:jc w:val="both"/>
        <w:rPr>
          <w:rFonts w:cs="Arial"/>
          <w:sz w:val="22"/>
        </w:rPr>
      </w:pPr>
      <w:r>
        <w:rPr>
          <w:rFonts w:cs="Arial"/>
          <w:sz w:val="22"/>
        </w:rPr>
        <w:t>Managerial employees and other contract will be paid on a total cost of employment basis and will be allowed to structure their packages (within limits of the law) to suit their individual needs.</w:t>
      </w:r>
    </w:p>
    <w:p w:rsidR="00FA7D7A" w:rsidRDefault="00FA7D7A" w:rsidP="00AA4792">
      <w:pPr>
        <w:numPr>
          <w:ilvl w:val="1"/>
          <w:numId w:val="8"/>
        </w:numPr>
        <w:tabs>
          <w:tab w:val="clear" w:pos="360"/>
          <w:tab w:val="num" w:pos="540"/>
        </w:tabs>
        <w:spacing w:before="240" w:line="360" w:lineRule="auto"/>
        <w:ind w:left="540" w:hanging="540"/>
        <w:jc w:val="both"/>
        <w:rPr>
          <w:rFonts w:cs="Arial"/>
          <w:sz w:val="22"/>
        </w:rPr>
      </w:pPr>
      <w:r>
        <w:rPr>
          <w:rFonts w:cs="Arial"/>
          <w:sz w:val="22"/>
        </w:rPr>
        <w:lastRenderedPageBreak/>
        <w:t xml:space="preserve">Remuneration levels of employee’s below Grade 4, </w:t>
      </w:r>
      <w:r w:rsidR="00F945B8">
        <w:rPr>
          <w:rFonts w:cs="Arial"/>
          <w:sz w:val="22"/>
        </w:rPr>
        <w:t>i.e.</w:t>
      </w:r>
      <w:r>
        <w:rPr>
          <w:rFonts w:cs="Arial"/>
          <w:sz w:val="22"/>
        </w:rPr>
        <w:t xml:space="preserve"> non-managerial staff, will be guided by, and adhere to SALGA Bargaining Council Agreements on salaries and allowances.</w:t>
      </w:r>
    </w:p>
    <w:p w:rsidR="00FA7D7A" w:rsidRDefault="00FA7D7A" w:rsidP="00AA4792">
      <w:pPr>
        <w:numPr>
          <w:ilvl w:val="1"/>
          <w:numId w:val="8"/>
        </w:numPr>
        <w:tabs>
          <w:tab w:val="clear" w:pos="360"/>
          <w:tab w:val="num" w:pos="540"/>
        </w:tabs>
        <w:spacing w:before="240" w:line="360" w:lineRule="auto"/>
        <w:jc w:val="both"/>
        <w:rPr>
          <w:rFonts w:cs="Arial"/>
          <w:sz w:val="22"/>
        </w:rPr>
      </w:pPr>
      <w:r>
        <w:rPr>
          <w:rFonts w:cs="Arial"/>
          <w:sz w:val="22"/>
        </w:rPr>
        <w:t>Confidentiality will be observed in all matters relating to individual salaries.</w:t>
      </w:r>
    </w:p>
    <w:p w:rsidR="00FA7D7A" w:rsidRDefault="00FA7D7A" w:rsidP="00AA4792">
      <w:pPr>
        <w:numPr>
          <w:ilvl w:val="1"/>
          <w:numId w:val="8"/>
        </w:numPr>
        <w:tabs>
          <w:tab w:val="clear" w:pos="360"/>
          <w:tab w:val="num" w:pos="540"/>
        </w:tabs>
        <w:spacing w:before="240" w:line="360" w:lineRule="auto"/>
        <w:jc w:val="both"/>
      </w:pPr>
      <w:r>
        <w:rPr>
          <w:rFonts w:cs="Arial"/>
          <w:sz w:val="22"/>
        </w:rPr>
        <w:t>Line Managers will be consulted in the determination of salary levels for their subordinates.</w:t>
      </w:r>
    </w:p>
    <w:p w:rsidR="00FA7D7A" w:rsidRDefault="00FA7D7A" w:rsidP="00FA7D7A">
      <w:pPr>
        <w:pStyle w:val="Header"/>
        <w:tabs>
          <w:tab w:val="clear" w:pos="4320"/>
          <w:tab w:val="clear" w:pos="8640"/>
        </w:tabs>
        <w:spacing w:line="360" w:lineRule="auto"/>
        <w:jc w:val="both"/>
        <w:rPr>
          <w:rFonts w:cs="Arial"/>
        </w:rPr>
      </w:pPr>
    </w:p>
    <w:p w:rsidR="00FA7D7A" w:rsidRDefault="00FA7D7A" w:rsidP="00FA7D7A">
      <w:pPr>
        <w:pStyle w:val="Header"/>
        <w:tabs>
          <w:tab w:val="clear" w:pos="4320"/>
          <w:tab w:val="clear" w:pos="8640"/>
        </w:tabs>
        <w:spacing w:line="360" w:lineRule="auto"/>
        <w:jc w:val="both"/>
        <w:rPr>
          <w:rFonts w:cs="Arial"/>
        </w:rPr>
      </w:pPr>
    </w:p>
    <w:p w:rsidR="00FA7D7A" w:rsidRDefault="00FA7D7A" w:rsidP="00AA4792">
      <w:pPr>
        <w:pStyle w:val="Heading1"/>
        <w:numPr>
          <w:ilvl w:val="0"/>
          <w:numId w:val="3"/>
        </w:numPr>
        <w:tabs>
          <w:tab w:val="clear" w:pos="360"/>
          <w:tab w:val="num" w:pos="540"/>
        </w:tabs>
        <w:ind w:left="540" w:hanging="540"/>
        <w:jc w:val="both"/>
        <w:rPr>
          <w:rFonts w:ascii="Arial" w:hAnsi="Arial" w:cs="Arial"/>
        </w:rPr>
      </w:pPr>
      <w:bookmarkStart w:id="7" w:name="_Toc206314321"/>
      <w:r>
        <w:rPr>
          <w:rFonts w:ascii="Arial" w:hAnsi="Arial" w:cs="Arial"/>
        </w:rPr>
        <w:t>Procedures</w:t>
      </w:r>
      <w:bookmarkEnd w:id="7"/>
    </w:p>
    <w:p w:rsidR="00FA7D7A" w:rsidRDefault="00FA7D7A" w:rsidP="00FA7D7A">
      <w:pPr>
        <w:pStyle w:val="Heading1"/>
        <w:jc w:val="both"/>
        <w:rPr>
          <w:rFonts w:ascii="Arial" w:hAnsi="Arial" w:cs="Arial"/>
        </w:rPr>
      </w:pPr>
    </w:p>
    <w:p w:rsidR="00FA7D7A" w:rsidRDefault="00FA7D7A" w:rsidP="00AA4792">
      <w:pPr>
        <w:pStyle w:val="BodyText"/>
        <w:numPr>
          <w:ilvl w:val="1"/>
          <w:numId w:val="4"/>
        </w:numPr>
        <w:tabs>
          <w:tab w:val="clear" w:pos="900"/>
          <w:tab w:val="num" w:pos="540"/>
        </w:tabs>
        <w:spacing w:before="240" w:after="0" w:line="360" w:lineRule="auto"/>
        <w:ind w:left="540" w:hanging="540"/>
        <w:jc w:val="both"/>
        <w:rPr>
          <w:rFonts w:cs="Arial"/>
          <w:iCs/>
          <w:sz w:val="22"/>
        </w:rPr>
      </w:pPr>
      <w:r>
        <w:rPr>
          <w:rFonts w:cs="Arial"/>
          <w:sz w:val="24"/>
        </w:rPr>
        <w:t>Job Evaluation and Grading</w:t>
      </w:r>
    </w:p>
    <w:p w:rsidR="00FA7D7A" w:rsidRDefault="00FA7D7A" w:rsidP="00AA4792">
      <w:pPr>
        <w:pStyle w:val="BodyText"/>
        <w:numPr>
          <w:ilvl w:val="2"/>
          <w:numId w:val="4"/>
        </w:numPr>
        <w:tabs>
          <w:tab w:val="clear" w:pos="1800"/>
          <w:tab w:val="num" w:pos="720"/>
        </w:tabs>
        <w:spacing w:before="240" w:after="0" w:line="360" w:lineRule="auto"/>
        <w:ind w:left="720"/>
        <w:jc w:val="both"/>
        <w:rPr>
          <w:rFonts w:cs="Arial"/>
          <w:b/>
          <w:bCs/>
          <w:iCs/>
          <w:sz w:val="22"/>
        </w:rPr>
      </w:pPr>
      <w:r>
        <w:rPr>
          <w:rFonts w:cs="Arial"/>
          <w:sz w:val="22"/>
        </w:rPr>
        <w:t xml:space="preserve">The content of all jobs will be properly described and evaluated in terms of the agreed job evaluation system. </w:t>
      </w:r>
      <w:r w:rsidRPr="00676EA3">
        <w:rPr>
          <w:rFonts w:cs="Arial"/>
          <w:sz w:val="22"/>
        </w:rPr>
        <w:t>The Municipality currently uses the Task job evaluation system.</w:t>
      </w:r>
    </w:p>
    <w:p w:rsidR="00FA7D7A" w:rsidRDefault="00FA7D7A" w:rsidP="00AA4792">
      <w:pPr>
        <w:pStyle w:val="BodyText"/>
        <w:numPr>
          <w:ilvl w:val="2"/>
          <w:numId w:val="4"/>
        </w:numPr>
        <w:tabs>
          <w:tab w:val="clear" w:pos="1800"/>
          <w:tab w:val="num" w:pos="720"/>
        </w:tabs>
        <w:spacing w:before="240" w:after="0" w:line="360" w:lineRule="auto"/>
        <w:ind w:left="720"/>
        <w:jc w:val="both"/>
        <w:rPr>
          <w:rFonts w:cs="Arial"/>
          <w:b/>
          <w:bCs/>
          <w:iCs/>
          <w:sz w:val="22"/>
        </w:rPr>
      </w:pPr>
      <w:r>
        <w:rPr>
          <w:rFonts w:cs="Arial"/>
          <w:sz w:val="22"/>
        </w:rPr>
        <w:t xml:space="preserve">Jobs will be linked to the pay structure in accordance with their intrinsic value and relative ranking in relation to other jobs. </w:t>
      </w:r>
    </w:p>
    <w:p w:rsidR="00FA7D7A" w:rsidRDefault="00FA7D7A" w:rsidP="00AA4792">
      <w:pPr>
        <w:pStyle w:val="BodyText"/>
        <w:numPr>
          <w:ilvl w:val="2"/>
          <w:numId w:val="4"/>
        </w:numPr>
        <w:tabs>
          <w:tab w:val="clear" w:pos="1800"/>
          <w:tab w:val="num" w:pos="720"/>
        </w:tabs>
        <w:spacing w:before="240" w:after="0" w:line="360" w:lineRule="auto"/>
        <w:ind w:left="720"/>
        <w:jc w:val="both"/>
        <w:rPr>
          <w:rFonts w:cs="Arial"/>
          <w:b/>
          <w:bCs/>
          <w:iCs/>
          <w:sz w:val="22"/>
        </w:rPr>
      </w:pPr>
      <w:r>
        <w:rPr>
          <w:rFonts w:cs="Arial"/>
          <w:sz w:val="22"/>
        </w:rPr>
        <w:t>Pay levels in the structure will be influenced by market rates as determined by market surveys.</w:t>
      </w:r>
    </w:p>
    <w:p w:rsidR="00FA7D7A" w:rsidRDefault="00FA7D7A" w:rsidP="00AA4792">
      <w:pPr>
        <w:pStyle w:val="BodyText"/>
        <w:numPr>
          <w:ilvl w:val="2"/>
          <w:numId w:val="4"/>
        </w:numPr>
        <w:tabs>
          <w:tab w:val="clear" w:pos="1800"/>
          <w:tab w:val="num" w:pos="720"/>
        </w:tabs>
        <w:spacing w:before="240" w:after="0" w:line="360" w:lineRule="auto"/>
        <w:ind w:left="720"/>
        <w:jc w:val="both"/>
        <w:rPr>
          <w:rFonts w:cs="Arial"/>
          <w:b/>
          <w:bCs/>
          <w:iCs/>
          <w:sz w:val="22"/>
        </w:rPr>
      </w:pPr>
      <w:r>
        <w:rPr>
          <w:rFonts w:cs="Arial"/>
          <w:sz w:val="22"/>
        </w:rPr>
        <w:t>All new jobs, or jobs whose responsibilities have changed, will be submitted to the SALGA Evaluation Committee for evaluation.</w:t>
      </w:r>
    </w:p>
    <w:p w:rsidR="00FA7D7A" w:rsidRDefault="00FA7D7A" w:rsidP="00FA7D7A">
      <w:pPr>
        <w:pStyle w:val="BodyText"/>
        <w:spacing w:before="240" w:line="360" w:lineRule="auto"/>
        <w:jc w:val="both"/>
        <w:rPr>
          <w:rFonts w:cs="Arial"/>
          <w:b/>
          <w:bCs/>
          <w:iCs/>
          <w:sz w:val="22"/>
        </w:rPr>
      </w:pPr>
    </w:p>
    <w:p w:rsidR="00FA7D7A" w:rsidRDefault="00FA7D7A" w:rsidP="00AA4792">
      <w:pPr>
        <w:pStyle w:val="BodyText"/>
        <w:numPr>
          <w:ilvl w:val="1"/>
          <w:numId w:val="4"/>
        </w:numPr>
        <w:tabs>
          <w:tab w:val="clear" w:pos="900"/>
          <w:tab w:val="num" w:pos="540"/>
        </w:tabs>
        <w:spacing w:before="240" w:after="0" w:line="360" w:lineRule="auto"/>
        <w:ind w:left="540" w:hanging="540"/>
        <w:jc w:val="both"/>
        <w:rPr>
          <w:rFonts w:cs="Arial"/>
          <w:iCs/>
          <w:sz w:val="22"/>
        </w:rPr>
      </w:pPr>
      <w:r>
        <w:rPr>
          <w:rFonts w:cs="Arial"/>
          <w:sz w:val="24"/>
        </w:rPr>
        <w:t>Base or Basic Pay</w:t>
      </w:r>
    </w:p>
    <w:p w:rsidR="00FA7D7A" w:rsidRDefault="00FA7D7A" w:rsidP="00AA4792">
      <w:pPr>
        <w:pStyle w:val="BodyText"/>
        <w:numPr>
          <w:ilvl w:val="2"/>
          <w:numId w:val="4"/>
        </w:numPr>
        <w:tabs>
          <w:tab w:val="clear" w:pos="1800"/>
          <w:tab w:val="num" w:pos="720"/>
        </w:tabs>
        <w:spacing w:before="240" w:after="0" w:line="360" w:lineRule="auto"/>
        <w:ind w:left="720"/>
        <w:jc w:val="both"/>
        <w:rPr>
          <w:rFonts w:cs="Arial"/>
          <w:b/>
          <w:bCs/>
          <w:iCs/>
          <w:sz w:val="22"/>
        </w:rPr>
      </w:pPr>
      <w:r>
        <w:rPr>
          <w:rFonts w:cs="Arial"/>
          <w:sz w:val="22"/>
        </w:rPr>
        <w:t>Base or basic pay will be determined by internal (as measured by job evaluation) and external (as measured by tracking market rates) considerations.</w:t>
      </w:r>
    </w:p>
    <w:p w:rsidR="00FA7D7A" w:rsidRDefault="00FA7D7A" w:rsidP="00AA4792">
      <w:pPr>
        <w:pStyle w:val="BodyText"/>
        <w:numPr>
          <w:ilvl w:val="2"/>
          <w:numId w:val="4"/>
        </w:numPr>
        <w:tabs>
          <w:tab w:val="clear" w:pos="1800"/>
          <w:tab w:val="num" w:pos="720"/>
        </w:tabs>
        <w:spacing w:before="240" w:after="0" w:line="360" w:lineRule="auto"/>
        <w:ind w:left="720"/>
        <w:jc w:val="both"/>
        <w:rPr>
          <w:rFonts w:cs="Arial"/>
          <w:b/>
          <w:bCs/>
          <w:iCs/>
          <w:sz w:val="22"/>
        </w:rPr>
      </w:pPr>
      <w:r>
        <w:rPr>
          <w:rFonts w:cs="Arial"/>
          <w:sz w:val="22"/>
        </w:rPr>
        <w:t>Base or basic pay will also be determined in accordance with national collective agreements.</w:t>
      </w:r>
    </w:p>
    <w:p w:rsidR="00FA7D7A" w:rsidRDefault="00FA7D7A" w:rsidP="00AA4792">
      <w:pPr>
        <w:pStyle w:val="BodyText"/>
        <w:numPr>
          <w:ilvl w:val="2"/>
          <w:numId w:val="4"/>
        </w:numPr>
        <w:tabs>
          <w:tab w:val="clear" w:pos="1800"/>
          <w:tab w:val="num" w:pos="720"/>
        </w:tabs>
        <w:spacing w:before="240" w:after="0" w:line="360" w:lineRule="auto"/>
        <w:ind w:left="720"/>
        <w:jc w:val="both"/>
        <w:rPr>
          <w:rFonts w:cs="Arial"/>
          <w:b/>
          <w:bCs/>
          <w:iCs/>
          <w:sz w:val="22"/>
        </w:rPr>
      </w:pPr>
      <w:r>
        <w:rPr>
          <w:rFonts w:cs="Arial"/>
          <w:sz w:val="22"/>
        </w:rPr>
        <w:t>The Municipality will endeavour to pay its employees at the median of the market, subject to its ability to sustain the salary budgets.</w:t>
      </w:r>
    </w:p>
    <w:p w:rsidR="00FA7D7A" w:rsidRDefault="00FA7D7A" w:rsidP="00AA4792">
      <w:pPr>
        <w:pStyle w:val="BodyText"/>
        <w:numPr>
          <w:ilvl w:val="1"/>
          <w:numId w:val="4"/>
        </w:numPr>
        <w:tabs>
          <w:tab w:val="clear" w:pos="900"/>
          <w:tab w:val="num" w:pos="540"/>
        </w:tabs>
        <w:spacing w:before="240" w:after="0" w:line="360" w:lineRule="auto"/>
        <w:ind w:left="540" w:hanging="540"/>
        <w:jc w:val="both"/>
        <w:rPr>
          <w:rFonts w:cs="Arial"/>
          <w:iCs/>
          <w:sz w:val="22"/>
        </w:rPr>
      </w:pPr>
      <w:r>
        <w:rPr>
          <w:rFonts w:cs="Arial"/>
          <w:sz w:val="24"/>
        </w:rPr>
        <w:t>Total Cost of Employment</w:t>
      </w:r>
    </w:p>
    <w:p w:rsidR="00FA7D7A" w:rsidRDefault="00FA7D7A" w:rsidP="00AA4792">
      <w:pPr>
        <w:pStyle w:val="BodyText"/>
        <w:numPr>
          <w:ilvl w:val="2"/>
          <w:numId w:val="4"/>
        </w:numPr>
        <w:tabs>
          <w:tab w:val="clear" w:pos="1800"/>
          <w:tab w:val="num" w:pos="720"/>
        </w:tabs>
        <w:spacing w:before="240" w:after="0" w:line="360" w:lineRule="auto"/>
        <w:ind w:left="720"/>
        <w:jc w:val="both"/>
        <w:rPr>
          <w:rFonts w:cs="Arial"/>
          <w:b/>
          <w:bCs/>
          <w:iCs/>
          <w:sz w:val="22"/>
        </w:rPr>
      </w:pPr>
      <w:r>
        <w:rPr>
          <w:rFonts w:cs="Arial"/>
          <w:sz w:val="22"/>
        </w:rPr>
        <w:t>The Municipality will pay a total package (total cost of employment) for all positions designated and occupied by managerial employees and contractual employees.</w:t>
      </w:r>
    </w:p>
    <w:p w:rsidR="00FA7D7A" w:rsidRDefault="00FA7D7A" w:rsidP="00AA4792">
      <w:pPr>
        <w:pStyle w:val="BodyText"/>
        <w:numPr>
          <w:ilvl w:val="3"/>
          <w:numId w:val="4"/>
        </w:numPr>
        <w:tabs>
          <w:tab w:val="clear" w:pos="2340"/>
          <w:tab w:val="num" w:pos="1080"/>
        </w:tabs>
        <w:spacing w:before="240" w:after="0" w:line="360" w:lineRule="auto"/>
        <w:ind w:hanging="2340"/>
        <w:jc w:val="both"/>
        <w:rPr>
          <w:rFonts w:cs="Arial"/>
          <w:b/>
          <w:bCs/>
          <w:iCs/>
          <w:sz w:val="22"/>
        </w:rPr>
      </w:pPr>
      <w:r>
        <w:rPr>
          <w:rFonts w:cs="Arial"/>
          <w:sz w:val="22"/>
        </w:rPr>
        <w:lastRenderedPageBreak/>
        <w:t>Total Cost of Employment (TCOE) includes:</w:t>
      </w:r>
    </w:p>
    <w:p w:rsidR="00FA7D7A" w:rsidRDefault="00FA7D7A" w:rsidP="00AA4792">
      <w:pPr>
        <w:numPr>
          <w:ilvl w:val="0"/>
          <w:numId w:val="1"/>
        </w:numPr>
        <w:spacing w:line="360" w:lineRule="auto"/>
        <w:ind w:left="499" w:firstLine="581"/>
        <w:rPr>
          <w:rFonts w:cs="Arial"/>
          <w:sz w:val="22"/>
        </w:rPr>
      </w:pPr>
      <w:r>
        <w:rPr>
          <w:rFonts w:cs="Arial"/>
          <w:sz w:val="22"/>
        </w:rPr>
        <w:t>Basic Salary</w:t>
      </w:r>
    </w:p>
    <w:p w:rsidR="00FA7D7A" w:rsidRDefault="00FA7D7A" w:rsidP="00AA4792">
      <w:pPr>
        <w:numPr>
          <w:ilvl w:val="0"/>
          <w:numId w:val="1"/>
        </w:numPr>
        <w:spacing w:line="360" w:lineRule="auto"/>
        <w:ind w:left="499" w:firstLine="581"/>
        <w:rPr>
          <w:rFonts w:cs="Arial"/>
          <w:sz w:val="22"/>
        </w:rPr>
      </w:pPr>
      <w:r>
        <w:rPr>
          <w:rFonts w:cs="Arial"/>
          <w:sz w:val="22"/>
        </w:rPr>
        <w:t>Employer’s contribution to retirement fund</w:t>
      </w:r>
    </w:p>
    <w:p w:rsidR="00FA7D7A" w:rsidRDefault="00FA7D7A" w:rsidP="00AA4792">
      <w:pPr>
        <w:numPr>
          <w:ilvl w:val="0"/>
          <w:numId w:val="1"/>
        </w:numPr>
        <w:spacing w:line="360" w:lineRule="auto"/>
        <w:ind w:left="499" w:firstLine="581"/>
        <w:rPr>
          <w:rFonts w:cs="Arial"/>
          <w:sz w:val="22"/>
        </w:rPr>
      </w:pPr>
      <w:r>
        <w:rPr>
          <w:rFonts w:cs="Arial"/>
          <w:sz w:val="22"/>
        </w:rPr>
        <w:t>Employer’s contribution to medical aid</w:t>
      </w:r>
    </w:p>
    <w:p w:rsidR="00FA7D7A" w:rsidRDefault="00FA7D7A" w:rsidP="00AA4792">
      <w:pPr>
        <w:numPr>
          <w:ilvl w:val="0"/>
          <w:numId w:val="1"/>
        </w:numPr>
        <w:spacing w:line="360" w:lineRule="auto"/>
        <w:ind w:left="499" w:firstLine="581"/>
        <w:rPr>
          <w:rFonts w:cs="Arial"/>
          <w:sz w:val="22"/>
        </w:rPr>
      </w:pPr>
      <w:r>
        <w:rPr>
          <w:rFonts w:cs="Arial"/>
          <w:sz w:val="22"/>
        </w:rPr>
        <w:t>Housing subsidy</w:t>
      </w:r>
    </w:p>
    <w:p w:rsidR="00FA7D7A" w:rsidRDefault="00FA7D7A" w:rsidP="00AA4792">
      <w:pPr>
        <w:numPr>
          <w:ilvl w:val="0"/>
          <w:numId w:val="1"/>
        </w:numPr>
        <w:spacing w:line="360" w:lineRule="auto"/>
        <w:ind w:left="499" w:firstLine="581"/>
        <w:rPr>
          <w:rFonts w:cs="Arial"/>
          <w:sz w:val="22"/>
        </w:rPr>
      </w:pPr>
      <w:r>
        <w:rPr>
          <w:rFonts w:cs="Arial"/>
          <w:sz w:val="22"/>
        </w:rPr>
        <w:t>Car allowance</w:t>
      </w:r>
    </w:p>
    <w:p w:rsidR="00FA7D7A" w:rsidRDefault="00FA7D7A" w:rsidP="00AA4792">
      <w:pPr>
        <w:numPr>
          <w:ilvl w:val="0"/>
          <w:numId w:val="1"/>
        </w:numPr>
        <w:spacing w:line="360" w:lineRule="auto"/>
        <w:ind w:left="499" w:firstLine="581"/>
        <w:rPr>
          <w:rFonts w:cs="Arial"/>
          <w:sz w:val="22"/>
        </w:rPr>
      </w:pPr>
      <w:r>
        <w:rPr>
          <w:rFonts w:cs="Arial"/>
          <w:sz w:val="22"/>
        </w:rPr>
        <w:t>Annual bonus</w:t>
      </w:r>
    </w:p>
    <w:p w:rsidR="00FA7D7A" w:rsidRDefault="00FA7D7A" w:rsidP="00AA4792">
      <w:pPr>
        <w:numPr>
          <w:ilvl w:val="0"/>
          <w:numId w:val="1"/>
        </w:numPr>
        <w:spacing w:line="360" w:lineRule="auto"/>
        <w:ind w:left="499" w:firstLine="581"/>
        <w:rPr>
          <w:rFonts w:cs="Arial"/>
          <w:b/>
          <w:bCs/>
          <w:iCs/>
          <w:sz w:val="22"/>
        </w:rPr>
      </w:pPr>
      <w:r>
        <w:rPr>
          <w:rFonts w:cs="Arial"/>
          <w:sz w:val="22"/>
        </w:rPr>
        <w:t>All allowances not defined as operational allowances</w:t>
      </w:r>
    </w:p>
    <w:p w:rsidR="00FA7D7A" w:rsidRDefault="00FA7D7A" w:rsidP="00AA4792">
      <w:pPr>
        <w:pStyle w:val="BodyText"/>
        <w:numPr>
          <w:ilvl w:val="3"/>
          <w:numId w:val="4"/>
        </w:numPr>
        <w:tabs>
          <w:tab w:val="clear" w:pos="2340"/>
          <w:tab w:val="num" w:pos="1080"/>
        </w:tabs>
        <w:spacing w:before="240" w:after="0" w:line="360" w:lineRule="auto"/>
        <w:ind w:hanging="2340"/>
        <w:jc w:val="both"/>
        <w:rPr>
          <w:rFonts w:cs="Arial"/>
          <w:b/>
          <w:bCs/>
          <w:iCs/>
        </w:rPr>
      </w:pPr>
      <w:r>
        <w:rPr>
          <w:rFonts w:cs="Arial"/>
        </w:rPr>
        <w:t>TCOE will be split as follows:</w:t>
      </w:r>
    </w:p>
    <w:p w:rsidR="00FA7D7A" w:rsidRDefault="00FA7D7A" w:rsidP="00AA4792">
      <w:pPr>
        <w:numPr>
          <w:ilvl w:val="0"/>
          <w:numId w:val="1"/>
        </w:numPr>
        <w:spacing w:line="360" w:lineRule="auto"/>
        <w:ind w:left="499" w:firstLine="581"/>
        <w:rPr>
          <w:rFonts w:cs="Arial"/>
          <w:sz w:val="22"/>
        </w:rPr>
      </w:pPr>
      <w:r>
        <w:rPr>
          <w:rFonts w:cs="Arial"/>
          <w:sz w:val="22"/>
        </w:rPr>
        <w:t>Basic salary will be 60% of total package</w:t>
      </w:r>
    </w:p>
    <w:p w:rsidR="00FA7D7A" w:rsidRDefault="00FA7D7A" w:rsidP="00AA4792">
      <w:pPr>
        <w:numPr>
          <w:ilvl w:val="0"/>
          <w:numId w:val="1"/>
        </w:numPr>
        <w:spacing w:line="360" w:lineRule="auto"/>
        <w:ind w:left="499" w:firstLine="581"/>
        <w:rPr>
          <w:rFonts w:cs="Arial"/>
          <w:iCs/>
          <w:sz w:val="22"/>
        </w:rPr>
      </w:pPr>
      <w:r>
        <w:rPr>
          <w:rFonts w:cs="Arial"/>
          <w:sz w:val="22"/>
        </w:rPr>
        <w:t>Benefits will be 40% of total package</w:t>
      </w:r>
    </w:p>
    <w:p w:rsidR="00FA7D7A" w:rsidRDefault="00FA7D7A" w:rsidP="00AA4792">
      <w:pPr>
        <w:pStyle w:val="BodyText"/>
        <w:numPr>
          <w:ilvl w:val="3"/>
          <w:numId w:val="4"/>
        </w:numPr>
        <w:tabs>
          <w:tab w:val="clear" w:pos="2340"/>
          <w:tab w:val="num" w:pos="1080"/>
        </w:tabs>
        <w:spacing w:before="240" w:after="0" w:line="360" w:lineRule="auto"/>
        <w:ind w:left="1080" w:hanging="1080"/>
        <w:jc w:val="both"/>
        <w:rPr>
          <w:rFonts w:cs="Arial"/>
          <w:b/>
          <w:bCs/>
          <w:iCs/>
          <w:sz w:val="22"/>
        </w:rPr>
      </w:pPr>
      <w:r>
        <w:rPr>
          <w:rFonts w:cs="Arial"/>
          <w:sz w:val="22"/>
        </w:rPr>
        <w:t>The definition of annual basic salary (60% of TCOE) will, irrespective of an employee’s specific ratio, be used and applied in all calculations that require a value based on annual or basic salary (e.g. contributions to benefit schemes, allowances, overtime, etc)</w:t>
      </w:r>
    </w:p>
    <w:p w:rsidR="00FA7D7A" w:rsidRDefault="00FA7D7A" w:rsidP="00AA4792">
      <w:pPr>
        <w:pStyle w:val="BodyText"/>
        <w:numPr>
          <w:ilvl w:val="3"/>
          <w:numId w:val="4"/>
        </w:numPr>
        <w:tabs>
          <w:tab w:val="clear" w:pos="2340"/>
          <w:tab w:val="num" w:pos="1080"/>
        </w:tabs>
        <w:spacing w:before="240" w:after="0" w:line="360" w:lineRule="auto"/>
        <w:ind w:left="1080" w:hanging="1080"/>
        <w:jc w:val="both"/>
        <w:rPr>
          <w:rFonts w:cs="Arial"/>
          <w:b/>
          <w:bCs/>
          <w:sz w:val="22"/>
        </w:rPr>
      </w:pPr>
      <w:r>
        <w:rPr>
          <w:rFonts w:cs="Arial"/>
          <w:sz w:val="22"/>
        </w:rPr>
        <w:t>TCOE is paid in 12 monthly instalments</w:t>
      </w:r>
    </w:p>
    <w:p w:rsidR="00FA7D7A" w:rsidRDefault="00FA7D7A" w:rsidP="00AA4792">
      <w:pPr>
        <w:pStyle w:val="BodyText"/>
        <w:numPr>
          <w:ilvl w:val="3"/>
          <w:numId w:val="4"/>
        </w:numPr>
        <w:tabs>
          <w:tab w:val="clear" w:pos="2340"/>
          <w:tab w:val="num" w:pos="1080"/>
        </w:tabs>
        <w:spacing w:before="240" w:after="0" w:line="360" w:lineRule="auto"/>
        <w:ind w:left="1080" w:hanging="1080"/>
        <w:jc w:val="both"/>
        <w:rPr>
          <w:rFonts w:cs="Arial"/>
          <w:b/>
          <w:bCs/>
          <w:iCs/>
          <w:sz w:val="22"/>
        </w:rPr>
      </w:pPr>
      <w:r>
        <w:rPr>
          <w:rFonts w:cs="Arial"/>
          <w:sz w:val="22"/>
        </w:rPr>
        <w:t>Qualifying employees will be allowed flexibility to structure their TCOE packages to suit their needs within the parameters of the Income Tax Act, the Municipality’s policies and relevant collective agreements</w:t>
      </w:r>
    </w:p>
    <w:p w:rsidR="00FA7D7A" w:rsidRDefault="00FA7D7A" w:rsidP="00AA4792">
      <w:pPr>
        <w:pStyle w:val="BodyText"/>
        <w:numPr>
          <w:ilvl w:val="2"/>
          <w:numId w:val="4"/>
        </w:numPr>
        <w:tabs>
          <w:tab w:val="clear" w:pos="1800"/>
          <w:tab w:val="num" w:pos="720"/>
        </w:tabs>
        <w:spacing w:before="240" w:after="0" w:line="360" w:lineRule="auto"/>
        <w:ind w:left="720"/>
        <w:jc w:val="both"/>
        <w:rPr>
          <w:rFonts w:cs="Arial"/>
          <w:b/>
          <w:bCs/>
          <w:iCs/>
          <w:sz w:val="22"/>
        </w:rPr>
      </w:pPr>
      <w:r>
        <w:rPr>
          <w:rFonts w:cs="Arial"/>
          <w:sz w:val="22"/>
        </w:rPr>
        <w:t>The Municipality will pay a salary plus benefits for all other positions (Post Levels 3 and below)</w:t>
      </w:r>
    </w:p>
    <w:p w:rsidR="00FA7D7A" w:rsidRDefault="00FA7D7A" w:rsidP="00FA7D7A">
      <w:pPr>
        <w:pStyle w:val="BodyText"/>
        <w:spacing w:before="240" w:line="360" w:lineRule="auto"/>
        <w:jc w:val="both"/>
        <w:rPr>
          <w:rFonts w:cs="Arial"/>
          <w:b/>
          <w:bCs/>
          <w:iCs/>
          <w:sz w:val="22"/>
        </w:rPr>
      </w:pPr>
    </w:p>
    <w:p w:rsidR="00FA7D7A" w:rsidRDefault="00FA7D7A" w:rsidP="00AA4792">
      <w:pPr>
        <w:pStyle w:val="BodyText"/>
        <w:numPr>
          <w:ilvl w:val="1"/>
          <w:numId w:val="4"/>
        </w:numPr>
        <w:tabs>
          <w:tab w:val="clear" w:pos="900"/>
          <w:tab w:val="num" w:pos="540"/>
        </w:tabs>
        <w:spacing w:before="240" w:after="0" w:line="360" w:lineRule="auto"/>
        <w:ind w:left="540" w:hanging="540"/>
        <w:jc w:val="both"/>
        <w:rPr>
          <w:rFonts w:cs="Arial"/>
          <w:sz w:val="24"/>
        </w:rPr>
      </w:pPr>
      <w:r>
        <w:rPr>
          <w:rFonts w:cs="Arial"/>
          <w:sz w:val="24"/>
        </w:rPr>
        <w:t>Reward Mix</w:t>
      </w:r>
    </w:p>
    <w:p w:rsidR="00FA7D7A" w:rsidRDefault="00FA7D7A" w:rsidP="00AA4792">
      <w:pPr>
        <w:pStyle w:val="BodyText"/>
        <w:numPr>
          <w:ilvl w:val="2"/>
          <w:numId w:val="4"/>
        </w:numPr>
        <w:tabs>
          <w:tab w:val="clear" w:pos="1800"/>
          <w:tab w:val="left" w:pos="720"/>
        </w:tabs>
        <w:spacing w:before="240" w:after="0" w:line="360" w:lineRule="auto"/>
        <w:ind w:left="720"/>
        <w:jc w:val="both"/>
        <w:rPr>
          <w:rFonts w:cs="Arial"/>
          <w:b/>
          <w:bCs/>
          <w:iCs/>
          <w:sz w:val="22"/>
        </w:rPr>
      </w:pPr>
      <w:r>
        <w:rPr>
          <w:rFonts w:cs="Arial"/>
          <w:sz w:val="22"/>
        </w:rPr>
        <w:t>The reward mix for all employees will be made up of guaranteed pay and benefits</w:t>
      </w:r>
    </w:p>
    <w:p w:rsidR="00FA7D7A" w:rsidRDefault="00FA7D7A" w:rsidP="00AA4792">
      <w:pPr>
        <w:pStyle w:val="BodyText"/>
        <w:numPr>
          <w:ilvl w:val="2"/>
          <w:numId w:val="4"/>
        </w:numPr>
        <w:tabs>
          <w:tab w:val="clear" w:pos="1800"/>
          <w:tab w:val="left" w:pos="720"/>
        </w:tabs>
        <w:spacing w:before="240" w:after="0" w:line="360" w:lineRule="auto"/>
        <w:ind w:left="720"/>
        <w:jc w:val="both"/>
        <w:rPr>
          <w:rFonts w:cs="Arial"/>
          <w:b/>
          <w:bCs/>
          <w:iCs/>
          <w:sz w:val="22"/>
        </w:rPr>
      </w:pPr>
      <w:r>
        <w:rPr>
          <w:rFonts w:cs="Arial"/>
          <w:sz w:val="22"/>
        </w:rPr>
        <w:t>Guaranteed pay includes all guaranteed items such as basic salary, car allowance (perk), medical aid, pension and guaranteed allowances (legislated and non-legislated)</w:t>
      </w:r>
    </w:p>
    <w:p w:rsidR="00FA7D7A" w:rsidRDefault="00FA7D7A" w:rsidP="00AA4792">
      <w:pPr>
        <w:pStyle w:val="BodyText"/>
        <w:numPr>
          <w:ilvl w:val="2"/>
          <w:numId w:val="4"/>
        </w:numPr>
        <w:tabs>
          <w:tab w:val="clear" w:pos="1800"/>
          <w:tab w:val="left" w:pos="720"/>
        </w:tabs>
        <w:spacing w:before="240" w:after="0" w:line="360" w:lineRule="auto"/>
        <w:ind w:left="720"/>
        <w:jc w:val="both"/>
        <w:rPr>
          <w:rFonts w:cs="Arial"/>
          <w:b/>
          <w:bCs/>
          <w:iCs/>
          <w:sz w:val="22"/>
        </w:rPr>
      </w:pPr>
      <w:r>
        <w:rPr>
          <w:rFonts w:cs="Arial"/>
          <w:sz w:val="22"/>
        </w:rPr>
        <w:t>Guaranteed pay for an individual will be based on their level of responsibility in the organization and the size of their job, as determined by the job evaluation process.</w:t>
      </w:r>
    </w:p>
    <w:p w:rsidR="00FA7D7A" w:rsidRDefault="00FA7D7A" w:rsidP="00AA4792">
      <w:pPr>
        <w:pStyle w:val="BodyText"/>
        <w:numPr>
          <w:ilvl w:val="2"/>
          <w:numId w:val="4"/>
        </w:numPr>
        <w:tabs>
          <w:tab w:val="clear" w:pos="1800"/>
          <w:tab w:val="num" w:pos="720"/>
        </w:tabs>
        <w:spacing w:before="240" w:after="0" w:line="360" w:lineRule="auto"/>
        <w:ind w:left="720"/>
        <w:jc w:val="both"/>
        <w:rPr>
          <w:rFonts w:cs="Arial"/>
          <w:iCs/>
          <w:sz w:val="22"/>
        </w:rPr>
      </w:pPr>
      <w:r>
        <w:rPr>
          <w:rFonts w:cs="Arial"/>
          <w:sz w:val="22"/>
        </w:rPr>
        <w:t>Benefits will be provided in accordance with national collective agreements as well as the Municipality’s conditions of service and human resource policies.</w:t>
      </w:r>
    </w:p>
    <w:p w:rsidR="00FA7D7A" w:rsidRDefault="00FA7D7A" w:rsidP="00FA7D7A">
      <w:pPr>
        <w:pStyle w:val="BodyText"/>
        <w:tabs>
          <w:tab w:val="left" w:pos="720"/>
        </w:tabs>
        <w:spacing w:before="240" w:line="360" w:lineRule="auto"/>
        <w:jc w:val="both"/>
        <w:rPr>
          <w:rFonts w:cs="Arial"/>
          <w:iCs/>
          <w:sz w:val="22"/>
        </w:rPr>
      </w:pPr>
    </w:p>
    <w:p w:rsidR="00FA7D7A" w:rsidRDefault="00FA7D7A" w:rsidP="00AA4792">
      <w:pPr>
        <w:pStyle w:val="BodyText"/>
        <w:numPr>
          <w:ilvl w:val="1"/>
          <w:numId w:val="4"/>
        </w:numPr>
        <w:tabs>
          <w:tab w:val="clear" w:pos="900"/>
          <w:tab w:val="num" w:pos="540"/>
        </w:tabs>
        <w:spacing w:before="240" w:after="0" w:line="360" w:lineRule="auto"/>
        <w:ind w:left="540" w:hanging="540"/>
        <w:jc w:val="both"/>
        <w:rPr>
          <w:rFonts w:cs="Arial"/>
          <w:iCs/>
          <w:sz w:val="22"/>
        </w:rPr>
      </w:pPr>
      <w:r>
        <w:rPr>
          <w:rFonts w:cs="Arial"/>
          <w:sz w:val="24"/>
        </w:rPr>
        <w:t>Commencing Salaries</w:t>
      </w:r>
    </w:p>
    <w:p w:rsidR="00FA7D7A" w:rsidRDefault="00FA7D7A" w:rsidP="00AA4792">
      <w:pPr>
        <w:pStyle w:val="BodyText"/>
        <w:numPr>
          <w:ilvl w:val="2"/>
          <w:numId w:val="4"/>
        </w:numPr>
        <w:tabs>
          <w:tab w:val="clear" w:pos="1800"/>
          <w:tab w:val="num" w:pos="720"/>
        </w:tabs>
        <w:spacing w:before="240" w:after="0" w:line="360" w:lineRule="auto"/>
        <w:ind w:left="720"/>
        <w:jc w:val="both"/>
        <w:rPr>
          <w:rFonts w:cs="Arial"/>
          <w:b/>
          <w:bCs/>
          <w:iCs/>
          <w:sz w:val="22"/>
        </w:rPr>
      </w:pPr>
      <w:r>
        <w:rPr>
          <w:rFonts w:cs="Arial"/>
          <w:sz w:val="22"/>
        </w:rPr>
        <w:t xml:space="preserve">New employees, and employees that have been promoted, will be placed at the entry level of the pay scale/notch for that particular job grade. </w:t>
      </w:r>
    </w:p>
    <w:p w:rsidR="00FA7D7A" w:rsidRDefault="00FA7D7A" w:rsidP="00AA4792">
      <w:pPr>
        <w:pStyle w:val="BodyText"/>
        <w:numPr>
          <w:ilvl w:val="2"/>
          <w:numId w:val="4"/>
        </w:numPr>
        <w:tabs>
          <w:tab w:val="clear" w:pos="1800"/>
          <w:tab w:val="num" w:pos="720"/>
        </w:tabs>
        <w:spacing w:before="240" w:after="0" w:line="360" w:lineRule="auto"/>
        <w:ind w:left="720"/>
        <w:jc w:val="both"/>
        <w:rPr>
          <w:rFonts w:cs="Arial"/>
          <w:iCs/>
          <w:sz w:val="22"/>
        </w:rPr>
      </w:pPr>
      <w:r>
        <w:rPr>
          <w:rFonts w:cs="Arial"/>
          <w:sz w:val="22"/>
        </w:rPr>
        <w:t>Where there is a justifiable reason for a higher notch, the Head of Department will motivate for approval by the Municipal Manager.</w:t>
      </w:r>
    </w:p>
    <w:p w:rsidR="00FA7D7A" w:rsidRDefault="00FA7D7A" w:rsidP="00FA7D7A">
      <w:pPr>
        <w:pStyle w:val="BodyText"/>
        <w:spacing w:before="240" w:line="360" w:lineRule="auto"/>
        <w:jc w:val="both"/>
        <w:rPr>
          <w:rFonts w:cs="Arial"/>
          <w:iCs/>
          <w:sz w:val="22"/>
        </w:rPr>
      </w:pPr>
    </w:p>
    <w:p w:rsidR="00FA7D7A" w:rsidRDefault="00FA7D7A" w:rsidP="00AA4792">
      <w:pPr>
        <w:pStyle w:val="BodyText"/>
        <w:numPr>
          <w:ilvl w:val="1"/>
          <w:numId w:val="4"/>
        </w:numPr>
        <w:tabs>
          <w:tab w:val="clear" w:pos="900"/>
          <w:tab w:val="num" w:pos="540"/>
        </w:tabs>
        <w:spacing w:before="240" w:after="0" w:line="360" w:lineRule="auto"/>
        <w:ind w:left="540" w:hanging="540"/>
        <w:jc w:val="both"/>
        <w:rPr>
          <w:rFonts w:cs="Arial"/>
          <w:iCs/>
          <w:sz w:val="22"/>
        </w:rPr>
      </w:pPr>
      <w:r>
        <w:rPr>
          <w:rFonts w:cs="Arial"/>
          <w:sz w:val="24"/>
        </w:rPr>
        <w:t>Annual Cost of Living Adjustment (COLA)</w:t>
      </w:r>
    </w:p>
    <w:p w:rsidR="00FA7D7A" w:rsidRDefault="00FA7D7A" w:rsidP="00AA4792">
      <w:pPr>
        <w:pStyle w:val="BodyText"/>
        <w:numPr>
          <w:ilvl w:val="2"/>
          <w:numId w:val="4"/>
        </w:numPr>
        <w:tabs>
          <w:tab w:val="clear" w:pos="1800"/>
          <w:tab w:val="num" w:pos="720"/>
        </w:tabs>
        <w:spacing w:before="240" w:after="0" w:line="360" w:lineRule="auto"/>
        <w:ind w:left="720"/>
        <w:jc w:val="both"/>
        <w:rPr>
          <w:rFonts w:cs="Arial"/>
          <w:b/>
          <w:bCs/>
          <w:iCs/>
          <w:sz w:val="22"/>
        </w:rPr>
      </w:pPr>
      <w:r>
        <w:rPr>
          <w:rFonts w:cs="Arial"/>
          <w:sz w:val="22"/>
        </w:rPr>
        <w:t>Remuneration will be adjusted annually by means of a cost-of-living adjustment as determined through the collective bargaining processes in the South African Local Government Bargaining Council (SALGBC)</w:t>
      </w:r>
    </w:p>
    <w:p w:rsidR="00FA7D7A" w:rsidRDefault="00FA7D7A" w:rsidP="00AA4792">
      <w:pPr>
        <w:pStyle w:val="BodyText"/>
        <w:numPr>
          <w:ilvl w:val="2"/>
          <w:numId w:val="4"/>
        </w:numPr>
        <w:tabs>
          <w:tab w:val="clear" w:pos="1800"/>
          <w:tab w:val="num" w:pos="720"/>
        </w:tabs>
        <w:spacing w:before="240" w:after="0" w:line="360" w:lineRule="auto"/>
        <w:ind w:left="720"/>
        <w:jc w:val="both"/>
        <w:rPr>
          <w:rFonts w:cs="Arial"/>
          <w:b/>
          <w:bCs/>
          <w:iCs/>
          <w:sz w:val="22"/>
        </w:rPr>
      </w:pPr>
      <w:r>
        <w:rPr>
          <w:rFonts w:cs="Arial"/>
          <w:sz w:val="22"/>
        </w:rPr>
        <w:t xml:space="preserve">COLA for Managerial employees will be based on the total cost of employment (basic salary plus benefits). </w:t>
      </w:r>
    </w:p>
    <w:p w:rsidR="00FA7D7A" w:rsidRDefault="00FA7D7A" w:rsidP="00AA4792">
      <w:pPr>
        <w:pStyle w:val="BodyText"/>
        <w:numPr>
          <w:ilvl w:val="2"/>
          <w:numId w:val="4"/>
        </w:numPr>
        <w:tabs>
          <w:tab w:val="clear" w:pos="1800"/>
          <w:tab w:val="num" w:pos="720"/>
        </w:tabs>
        <w:spacing w:before="240" w:after="0" w:line="360" w:lineRule="auto"/>
        <w:ind w:left="720"/>
        <w:jc w:val="both"/>
        <w:rPr>
          <w:rFonts w:cs="Arial"/>
          <w:b/>
          <w:bCs/>
          <w:iCs/>
          <w:sz w:val="22"/>
        </w:rPr>
      </w:pPr>
      <w:r>
        <w:rPr>
          <w:rFonts w:cs="Arial"/>
          <w:sz w:val="22"/>
        </w:rPr>
        <w:t>COLA for other employees will be based on the basic salary, with benefits being adjusted according to municipal policy and collective agreements</w:t>
      </w:r>
    </w:p>
    <w:p w:rsidR="00FA7D7A" w:rsidRDefault="00FA7D7A" w:rsidP="00AA4792">
      <w:pPr>
        <w:pStyle w:val="BodyText"/>
        <w:numPr>
          <w:ilvl w:val="2"/>
          <w:numId w:val="4"/>
        </w:numPr>
        <w:tabs>
          <w:tab w:val="clear" w:pos="1800"/>
          <w:tab w:val="num" w:pos="720"/>
        </w:tabs>
        <w:spacing w:before="240" w:after="0" w:line="360" w:lineRule="auto"/>
        <w:ind w:left="720"/>
        <w:jc w:val="both"/>
        <w:rPr>
          <w:rFonts w:cs="Arial"/>
          <w:b/>
          <w:bCs/>
          <w:iCs/>
          <w:sz w:val="22"/>
        </w:rPr>
      </w:pPr>
      <w:r>
        <w:rPr>
          <w:rFonts w:cs="Arial"/>
          <w:sz w:val="22"/>
        </w:rPr>
        <w:t>The CFO will ensure that provision for annual adjustments is made in the budget</w:t>
      </w:r>
    </w:p>
    <w:p w:rsidR="00FA7D7A" w:rsidRDefault="00FA7D7A" w:rsidP="00FA7D7A">
      <w:pPr>
        <w:pStyle w:val="BodyText"/>
        <w:spacing w:before="240" w:line="360" w:lineRule="auto"/>
        <w:jc w:val="both"/>
        <w:rPr>
          <w:rFonts w:cs="Arial"/>
          <w:b/>
          <w:bCs/>
          <w:iCs/>
          <w:sz w:val="22"/>
        </w:rPr>
      </w:pPr>
    </w:p>
    <w:p w:rsidR="00FA7D7A" w:rsidRDefault="00FA7D7A" w:rsidP="00AA4792">
      <w:pPr>
        <w:pStyle w:val="BodyText"/>
        <w:numPr>
          <w:ilvl w:val="1"/>
          <w:numId w:val="4"/>
        </w:numPr>
        <w:tabs>
          <w:tab w:val="clear" w:pos="900"/>
          <w:tab w:val="num" w:pos="540"/>
        </w:tabs>
        <w:spacing w:before="240" w:after="0" w:line="360" w:lineRule="auto"/>
        <w:ind w:left="540" w:hanging="540"/>
        <w:jc w:val="both"/>
        <w:rPr>
          <w:rFonts w:cs="Arial"/>
          <w:iCs/>
          <w:sz w:val="22"/>
        </w:rPr>
      </w:pPr>
      <w:r>
        <w:rPr>
          <w:rFonts w:cs="Arial"/>
          <w:sz w:val="24"/>
        </w:rPr>
        <w:t>Performance Rewards</w:t>
      </w:r>
    </w:p>
    <w:p w:rsidR="00FA7D7A" w:rsidRDefault="00FA7D7A" w:rsidP="00AA4792">
      <w:pPr>
        <w:pStyle w:val="BodyText"/>
        <w:numPr>
          <w:ilvl w:val="2"/>
          <w:numId w:val="4"/>
        </w:numPr>
        <w:tabs>
          <w:tab w:val="clear" w:pos="1800"/>
          <w:tab w:val="num" w:pos="720"/>
        </w:tabs>
        <w:spacing w:before="240" w:after="0" w:line="360" w:lineRule="auto"/>
        <w:ind w:left="720"/>
        <w:jc w:val="both"/>
        <w:rPr>
          <w:rFonts w:cs="Arial"/>
          <w:b/>
          <w:bCs/>
          <w:iCs/>
          <w:sz w:val="22"/>
        </w:rPr>
      </w:pPr>
      <w:r>
        <w:rPr>
          <w:rFonts w:cs="Arial"/>
          <w:sz w:val="22"/>
        </w:rPr>
        <w:t>Reward for performance shall be paid in the form of notch increments</w:t>
      </w:r>
    </w:p>
    <w:p w:rsidR="00FA7D7A" w:rsidRDefault="00FA7D7A" w:rsidP="00AA4792">
      <w:pPr>
        <w:pStyle w:val="BodyText"/>
        <w:numPr>
          <w:ilvl w:val="2"/>
          <w:numId w:val="4"/>
        </w:numPr>
        <w:tabs>
          <w:tab w:val="clear" w:pos="1800"/>
          <w:tab w:val="num" w:pos="720"/>
        </w:tabs>
        <w:spacing w:before="240" w:after="0" w:line="360" w:lineRule="auto"/>
        <w:ind w:left="720"/>
        <w:jc w:val="both"/>
        <w:rPr>
          <w:rFonts w:cs="Arial"/>
          <w:b/>
          <w:bCs/>
          <w:iCs/>
          <w:sz w:val="22"/>
        </w:rPr>
      </w:pPr>
      <w:r>
        <w:rPr>
          <w:rFonts w:cs="Arial"/>
          <w:sz w:val="22"/>
        </w:rPr>
        <w:t>Performance related notch increments shall be determined by the employee’s performance in relation to his/her targets, as governed by the Performance Management Policy.</w:t>
      </w:r>
    </w:p>
    <w:p w:rsidR="00FA7D7A" w:rsidRPr="0053616B" w:rsidRDefault="00FA7D7A" w:rsidP="00AA4792">
      <w:pPr>
        <w:pStyle w:val="BodyText"/>
        <w:numPr>
          <w:ilvl w:val="2"/>
          <w:numId w:val="4"/>
        </w:numPr>
        <w:tabs>
          <w:tab w:val="clear" w:pos="1800"/>
          <w:tab w:val="num" w:pos="720"/>
        </w:tabs>
        <w:spacing w:before="240" w:after="0" w:line="360" w:lineRule="auto"/>
        <w:ind w:left="720"/>
        <w:jc w:val="both"/>
        <w:rPr>
          <w:rFonts w:cs="Arial"/>
          <w:iCs/>
          <w:sz w:val="22"/>
        </w:rPr>
      </w:pPr>
      <w:r>
        <w:rPr>
          <w:rFonts w:cs="Arial"/>
          <w:sz w:val="22"/>
        </w:rPr>
        <w:t>Employees will be required to have completed a minimum of 6 months service to become eligible for such performance related increments.</w:t>
      </w:r>
    </w:p>
    <w:p w:rsidR="0053616B" w:rsidRDefault="0053616B" w:rsidP="0053616B">
      <w:pPr>
        <w:pStyle w:val="BodyText"/>
        <w:tabs>
          <w:tab w:val="num" w:pos="1361"/>
        </w:tabs>
        <w:spacing w:before="240" w:after="0" w:line="360" w:lineRule="auto"/>
        <w:ind w:left="720"/>
        <w:jc w:val="both"/>
        <w:rPr>
          <w:rFonts w:cs="Arial"/>
          <w:iCs/>
          <w:sz w:val="22"/>
        </w:rPr>
      </w:pPr>
    </w:p>
    <w:p w:rsidR="00FA7D7A" w:rsidRDefault="00FA7D7A" w:rsidP="00AA4792">
      <w:pPr>
        <w:pStyle w:val="BodyText"/>
        <w:numPr>
          <w:ilvl w:val="1"/>
          <w:numId w:val="4"/>
        </w:numPr>
        <w:tabs>
          <w:tab w:val="clear" w:pos="900"/>
          <w:tab w:val="num" w:pos="540"/>
        </w:tabs>
        <w:spacing w:before="240" w:after="0" w:line="360" w:lineRule="auto"/>
        <w:ind w:left="540" w:hanging="540"/>
        <w:jc w:val="both"/>
        <w:rPr>
          <w:rFonts w:cs="Arial"/>
          <w:iCs/>
          <w:sz w:val="22"/>
        </w:rPr>
      </w:pPr>
      <w:r>
        <w:rPr>
          <w:rFonts w:cs="Arial"/>
          <w:sz w:val="24"/>
        </w:rPr>
        <w:t>Operational Allowances</w:t>
      </w:r>
    </w:p>
    <w:p w:rsidR="00FA7D7A" w:rsidRDefault="00FA7D7A" w:rsidP="00AA4792">
      <w:pPr>
        <w:pStyle w:val="BodyText"/>
        <w:numPr>
          <w:ilvl w:val="2"/>
          <w:numId w:val="4"/>
        </w:numPr>
        <w:tabs>
          <w:tab w:val="clear" w:pos="1800"/>
          <w:tab w:val="num" w:pos="720"/>
        </w:tabs>
        <w:spacing w:before="240" w:after="0" w:line="360" w:lineRule="auto"/>
        <w:ind w:left="720"/>
        <w:jc w:val="both"/>
        <w:rPr>
          <w:rFonts w:cs="Arial"/>
          <w:iCs/>
          <w:sz w:val="22"/>
        </w:rPr>
      </w:pPr>
      <w:r>
        <w:rPr>
          <w:rFonts w:cs="Arial"/>
          <w:iCs/>
          <w:sz w:val="24"/>
        </w:rPr>
        <w:lastRenderedPageBreak/>
        <w:t>The following are deemed to be operational allowances:</w:t>
      </w:r>
    </w:p>
    <w:p w:rsidR="00FA7D7A" w:rsidRDefault="00FA7D7A" w:rsidP="00AA4792">
      <w:pPr>
        <w:numPr>
          <w:ilvl w:val="0"/>
          <w:numId w:val="1"/>
        </w:numPr>
        <w:spacing w:line="360" w:lineRule="auto"/>
        <w:ind w:left="499" w:firstLine="581"/>
        <w:rPr>
          <w:rFonts w:cs="Arial"/>
          <w:sz w:val="22"/>
        </w:rPr>
      </w:pPr>
      <w:r>
        <w:rPr>
          <w:rFonts w:cs="Arial"/>
          <w:sz w:val="22"/>
        </w:rPr>
        <w:t>Standby allowances</w:t>
      </w:r>
    </w:p>
    <w:p w:rsidR="00FA7D7A" w:rsidRDefault="00FA7D7A" w:rsidP="00AA4792">
      <w:pPr>
        <w:numPr>
          <w:ilvl w:val="0"/>
          <w:numId w:val="1"/>
        </w:numPr>
        <w:spacing w:line="360" w:lineRule="auto"/>
        <w:ind w:left="499" w:firstLine="581"/>
        <w:rPr>
          <w:rFonts w:cs="Arial"/>
          <w:sz w:val="22"/>
        </w:rPr>
      </w:pPr>
      <w:r>
        <w:rPr>
          <w:rFonts w:cs="Arial"/>
          <w:sz w:val="22"/>
        </w:rPr>
        <w:t>Overtime</w:t>
      </w:r>
    </w:p>
    <w:p w:rsidR="00FA7D7A" w:rsidRDefault="00FA7D7A" w:rsidP="00AA4792">
      <w:pPr>
        <w:numPr>
          <w:ilvl w:val="0"/>
          <w:numId w:val="1"/>
        </w:numPr>
        <w:spacing w:line="360" w:lineRule="auto"/>
        <w:ind w:left="499" w:firstLine="581"/>
        <w:rPr>
          <w:rFonts w:cs="Arial"/>
          <w:sz w:val="22"/>
        </w:rPr>
      </w:pPr>
      <w:r>
        <w:rPr>
          <w:rFonts w:cs="Arial"/>
          <w:sz w:val="22"/>
        </w:rPr>
        <w:t>Acting allowances</w:t>
      </w:r>
    </w:p>
    <w:p w:rsidR="00FA7D7A" w:rsidRDefault="00FA7D7A" w:rsidP="00AA4792">
      <w:pPr>
        <w:numPr>
          <w:ilvl w:val="0"/>
          <w:numId w:val="1"/>
        </w:numPr>
        <w:spacing w:line="360" w:lineRule="auto"/>
        <w:ind w:left="499" w:firstLine="581"/>
        <w:rPr>
          <w:sz w:val="22"/>
        </w:rPr>
      </w:pPr>
      <w:r>
        <w:rPr>
          <w:rFonts w:cs="Arial"/>
          <w:sz w:val="22"/>
        </w:rPr>
        <w:t>Uniform Allowances</w:t>
      </w:r>
    </w:p>
    <w:p w:rsidR="00FA7D7A" w:rsidRDefault="00FA7D7A" w:rsidP="00FA7D7A">
      <w:pPr>
        <w:pStyle w:val="Heading1"/>
        <w:jc w:val="both"/>
        <w:rPr>
          <w:rFonts w:ascii="Arial" w:hAnsi="Arial" w:cs="Arial"/>
          <w:b w:val="0"/>
          <w:sz w:val="24"/>
        </w:rPr>
      </w:pPr>
    </w:p>
    <w:p w:rsidR="00FA7D7A" w:rsidRDefault="00FA7D7A" w:rsidP="00FA7D7A">
      <w:pPr>
        <w:jc w:val="both"/>
        <w:rPr>
          <w:rFonts w:cs="Arial"/>
        </w:rPr>
      </w:pPr>
    </w:p>
    <w:p w:rsidR="00FA7D7A" w:rsidRPr="00F945B8" w:rsidRDefault="00FA7D7A" w:rsidP="00AA4792">
      <w:pPr>
        <w:pStyle w:val="Heading1"/>
        <w:numPr>
          <w:ilvl w:val="0"/>
          <w:numId w:val="3"/>
        </w:numPr>
        <w:tabs>
          <w:tab w:val="clear" w:pos="360"/>
          <w:tab w:val="num" w:pos="540"/>
        </w:tabs>
        <w:ind w:left="540" w:hanging="540"/>
        <w:jc w:val="both"/>
        <w:rPr>
          <w:rFonts w:ascii="Arial" w:hAnsi="Arial" w:cs="Arial"/>
        </w:rPr>
      </w:pPr>
      <w:bookmarkStart w:id="8" w:name="_Toc206314322"/>
      <w:r w:rsidRPr="00F945B8">
        <w:rPr>
          <w:rFonts w:ascii="Arial" w:hAnsi="Arial" w:cs="Arial"/>
        </w:rPr>
        <w:t>Payment of Monthly Remun</w:t>
      </w:r>
      <w:r w:rsidR="00132980" w:rsidRPr="00F945B8">
        <w:rPr>
          <w:rFonts w:ascii="Arial" w:hAnsi="Arial" w:cs="Arial"/>
        </w:rPr>
        <w:t>e</w:t>
      </w:r>
      <w:r w:rsidRPr="00F945B8">
        <w:rPr>
          <w:rFonts w:ascii="Arial" w:hAnsi="Arial" w:cs="Arial"/>
        </w:rPr>
        <w:t>ration</w:t>
      </w:r>
    </w:p>
    <w:p w:rsidR="00C36895" w:rsidRPr="00F945B8" w:rsidRDefault="00C36895" w:rsidP="00C36895"/>
    <w:p w:rsidR="00C36895" w:rsidRPr="00F945B8" w:rsidRDefault="005E410A" w:rsidP="00AA4792">
      <w:pPr>
        <w:pStyle w:val="ListParagraph"/>
        <w:numPr>
          <w:ilvl w:val="0"/>
          <w:numId w:val="9"/>
        </w:numPr>
        <w:rPr>
          <w:rFonts w:cs="Arial"/>
          <w:sz w:val="22"/>
        </w:rPr>
      </w:pPr>
      <w:r w:rsidRPr="00F945B8">
        <w:rPr>
          <w:rFonts w:cs="Arial"/>
          <w:sz w:val="22"/>
        </w:rPr>
        <w:t>All submissions of memorandums from Human Resource Management to Salaries Section should be submitted on or before the 18th of each month to allow payroll staff to process them in time so that any errors are detected early during the salary trial run.</w:t>
      </w:r>
    </w:p>
    <w:p w:rsidR="005E410A" w:rsidRPr="00F945B8" w:rsidRDefault="005E410A" w:rsidP="005E410A">
      <w:pPr>
        <w:pStyle w:val="ListParagraph"/>
      </w:pPr>
    </w:p>
    <w:p w:rsidR="00C36895" w:rsidRPr="00F945B8" w:rsidRDefault="005E410A" w:rsidP="00AA4792">
      <w:pPr>
        <w:pStyle w:val="ListParagraph"/>
        <w:numPr>
          <w:ilvl w:val="0"/>
          <w:numId w:val="9"/>
        </w:numPr>
        <w:rPr>
          <w:rFonts w:cs="Arial"/>
          <w:sz w:val="22"/>
        </w:rPr>
      </w:pPr>
      <w:r w:rsidRPr="00F945B8">
        <w:rPr>
          <w:rFonts w:cs="Arial"/>
          <w:sz w:val="22"/>
        </w:rPr>
        <w:t>Salaries are payable on the 25th of each month</w:t>
      </w:r>
      <w:r w:rsidR="00A679CC" w:rsidRPr="00F945B8">
        <w:rPr>
          <w:rFonts w:cs="Arial"/>
          <w:sz w:val="22"/>
        </w:rPr>
        <w:t xml:space="preserve"> only if the date does not fall on weekends</w:t>
      </w:r>
      <w:r w:rsidRPr="00F945B8">
        <w:rPr>
          <w:rFonts w:cs="Arial"/>
          <w:sz w:val="22"/>
        </w:rPr>
        <w:t>.</w:t>
      </w:r>
    </w:p>
    <w:p w:rsidR="005E410A" w:rsidRPr="00C36895" w:rsidRDefault="005E410A" w:rsidP="005E410A">
      <w:pPr>
        <w:pStyle w:val="ListParagraph"/>
      </w:pPr>
    </w:p>
    <w:p w:rsidR="00FA7D7A" w:rsidRDefault="00FA7D7A" w:rsidP="00AA4792">
      <w:pPr>
        <w:pStyle w:val="Heading1"/>
        <w:numPr>
          <w:ilvl w:val="0"/>
          <w:numId w:val="3"/>
        </w:numPr>
        <w:tabs>
          <w:tab w:val="clear" w:pos="360"/>
          <w:tab w:val="num" w:pos="540"/>
        </w:tabs>
        <w:ind w:left="540" w:hanging="540"/>
        <w:jc w:val="both"/>
        <w:rPr>
          <w:rFonts w:ascii="Arial" w:hAnsi="Arial" w:cs="Arial"/>
        </w:rPr>
      </w:pPr>
      <w:r>
        <w:rPr>
          <w:rFonts w:ascii="Arial" w:hAnsi="Arial" w:cs="Arial"/>
        </w:rPr>
        <w:t>Delegations</w:t>
      </w:r>
      <w:bookmarkEnd w:id="8"/>
    </w:p>
    <w:p w:rsidR="00FA7D7A" w:rsidRDefault="00FA7D7A" w:rsidP="00FA7D7A"/>
    <w:p w:rsidR="00FA7D7A" w:rsidRDefault="00AA4792" w:rsidP="00AA4792">
      <w:pPr>
        <w:pStyle w:val="BodyText"/>
        <w:numPr>
          <w:ilvl w:val="1"/>
          <w:numId w:val="10"/>
        </w:numPr>
        <w:spacing w:before="240" w:after="0" w:line="360" w:lineRule="auto"/>
        <w:jc w:val="both"/>
        <w:rPr>
          <w:rFonts w:cs="Arial"/>
          <w:b/>
          <w:bCs/>
          <w:sz w:val="22"/>
        </w:rPr>
      </w:pPr>
      <w:r>
        <w:rPr>
          <w:rFonts w:cs="Arial"/>
          <w:sz w:val="22"/>
        </w:rPr>
        <w:t xml:space="preserve"> </w:t>
      </w:r>
      <w:r w:rsidR="00FA7D7A">
        <w:rPr>
          <w:rFonts w:cs="Arial"/>
          <w:sz w:val="22"/>
        </w:rPr>
        <w:t xml:space="preserve">Officials, implementing this policy, are required to make reference to the latest </w:t>
      </w:r>
      <w:r w:rsidR="00A679CC">
        <w:rPr>
          <w:rFonts w:cs="Arial"/>
          <w:sz w:val="22"/>
        </w:rPr>
        <w:t>delegation framework</w:t>
      </w:r>
      <w:r w:rsidR="00FA7D7A">
        <w:rPr>
          <w:rFonts w:cs="Arial"/>
          <w:sz w:val="22"/>
        </w:rPr>
        <w:t xml:space="preserve"> and identify the appropriate delegations applicable to this policy, which may </w:t>
      </w:r>
      <w:r w:rsidR="00A679CC">
        <w:rPr>
          <w:rFonts w:cs="Arial"/>
          <w:sz w:val="22"/>
        </w:rPr>
        <w:t>be subject</w:t>
      </w:r>
      <w:r w:rsidR="00FA7D7A">
        <w:rPr>
          <w:rFonts w:cs="Arial"/>
          <w:sz w:val="22"/>
        </w:rPr>
        <w:t xml:space="preserve"> to change from time to time.  </w:t>
      </w:r>
    </w:p>
    <w:p w:rsidR="00FA7D7A" w:rsidRDefault="00FA7D7A" w:rsidP="00FA7D7A">
      <w:pPr>
        <w:spacing w:line="360" w:lineRule="auto"/>
        <w:jc w:val="both"/>
        <w:rPr>
          <w:rFonts w:cs="Arial"/>
          <w:sz w:val="22"/>
        </w:rPr>
      </w:pPr>
    </w:p>
    <w:p w:rsidR="00FA7D7A" w:rsidRDefault="00FA7D7A" w:rsidP="00FA7D7A">
      <w:pPr>
        <w:spacing w:line="360" w:lineRule="auto"/>
        <w:jc w:val="both"/>
        <w:rPr>
          <w:rFonts w:cs="Arial"/>
          <w:sz w:val="22"/>
        </w:rPr>
      </w:pPr>
    </w:p>
    <w:p w:rsidR="00FA7D7A" w:rsidRDefault="00FA7D7A" w:rsidP="00F945B8">
      <w:pPr>
        <w:pStyle w:val="Heading1"/>
        <w:jc w:val="both"/>
        <w:rPr>
          <w:rFonts w:ascii="Arial" w:hAnsi="Arial" w:cs="Arial"/>
        </w:rPr>
      </w:pPr>
    </w:p>
    <w:p w:rsidR="00FA7D7A" w:rsidRDefault="00FA7D7A" w:rsidP="00FA7D7A">
      <w:pPr>
        <w:jc w:val="both"/>
        <w:rPr>
          <w:rFonts w:cs="Arial"/>
        </w:rPr>
      </w:pPr>
    </w:p>
    <w:p w:rsidR="00FA7D7A" w:rsidRDefault="00FA7D7A" w:rsidP="00FA7D7A">
      <w:pPr>
        <w:ind w:firstLine="540"/>
        <w:jc w:val="both"/>
        <w:rPr>
          <w:rFonts w:cs="Arial"/>
          <w:sz w:val="22"/>
        </w:rPr>
      </w:pPr>
    </w:p>
    <w:p w:rsidR="00FA7D7A" w:rsidRDefault="00FA7D7A" w:rsidP="00FA7D7A">
      <w:pPr>
        <w:jc w:val="both"/>
        <w:rPr>
          <w:rFonts w:cs="Arial"/>
        </w:rPr>
      </w:pPr>
    </w:p>
    <w:p w:rsidR="00D409E2" w:rsidRDefault="00D409E2" w:rsidP="00FA7D7A"/>
    <w:sectPr w:rsidR="00D409E2" w:rsidSect="00880D5A">
      <w:footerReference w:type="default" r:id="rId9"/>
      <w:pgSz w:w="11907" w:h="16840" w:code="9"/>
      <w:pgMar w:top="1247" w:right="1247" w:bottom="1247" w:left="1247" w:header="567" w:footer="737"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36B0" w:rsidRDefault="005B36B0">
      <w:r>
        <w:separator/>
      </w:r>
    </w:p>
  </w:endnote>
  <w:endnote w:type="continuationSeparator" w:id="1">
    <w:p w:rsidR="005B36B0" w:rsidRDefault="005B36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10A" w:rsidRDefault="005E410A" w:rsidP="00A8114A">
    <w:pPr>
      <w:pStyle w:val="Footer"/>
      <w:pBdr>
        <w:bottom w:val="single" w:sz="12" w:space="1" w:color="auto"/>
      </w:pBdr>
      <w:rPr>
        <w:sz w:val="16"/>
        <w:szCs w:val="16"/>
      </w:rPr>
    </w:pPr>
  </w:p>
  <w:p w:rsidR="005E410A" w:rsidRPr="00B75F9F" w:rsidRDefault="004C28D1" w:rsidP="00A8114A">
    <w:pPr>
      <w:pStyle w:val="Footer"/>
      <w:jc w:val="center"/>
      <w:rPr>
        <w:b/>
        <w:color w:val="000080"/>
        <w:sz w:val="22"/>
        <w:szCs w:val="22"/>
      </w:rPr>
    </w:pPr>
    <w:r w:rsidRPr="00B75F9F">
      <w:rPr>
        <w:rStyle w:val="PageNumber"/>
        <w:b/>
        <w:color w:val="000080"/>
        <w:sz w:val="22"/>
        <w:szCs w:val="22"/>
      </w:rPr>
      <w:fldChar w:fldCharType="begin"/>
    </w:r>
    <w:r w:rsidR="005E410A" w:rsidRPr="00B75F9F">
      <w:rPr>
        <w:rStyle w:val="PageNumber"/>
        <w:b/>
        <w:color w:val="000080"/>
        <w:sz w:val="22"/>
        <w:szCs w:val="22"/>
      </w:rPr>
      <w:instrText xml:space="preserve"> PAGE </w:instrText>
    </w:r>
    <w:r w:rsidRPr="00B75F9F">
      <w:rPr>
        <w:rStyle w:val="PageNumber"/>
        <w:b/>
        <w:color w:val="000080"/>
        <w:sz w:val="22"/>
        <w:szCs w:val="22"/>
      </w:rPr>
      <w:fldChar w:fldCharType="separate"/>
    </w:r>
    <w:r w:rsidR="00DE57E1">
      <w:rPr>
        <w:rStyle w:val="PageNumber"/>
        <w:b/>
        <w:noProof/>
        <w:color w:val="000080"/>
        <w:sz w:val="22"/>
        <w:szCs w:val="22"/>
      </w:rPr>
      <w:t>2</w:t>
    </w:r>
    <w:r w:rsidRPr="00B75F9F">
      <w:rPr>
        <w:rStyle w:val="PageNumber"/>
        <w:b/>
        <w:color w:val="000080"/>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36B0" w:rsidRDefault="005B36B0">
      <w:r>
        <w:separator/>
      </w:r>
    </w:p>
  </w:footnote>
  <w:footnote w:type="continuationSeparator" w:id="1">
    <w:p w:rsidR="005B36B0" w:rsidRDefault="005B36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37BF3"/>
    <w:multiLevelType w:val="multilevel"/>
    <w:tmpl w:val="BEAA0DB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3D66F06"/>
    <w:multiLevelType w:val="multilevel"/>
    <w:tmpl w:val="5B0404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27BE4D19"/>
    <w:multiLevelType w:val="multilevel"/>
    <w:tmpl w:val="E3FCE35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
    <w:nsid w:val="2A7E5DAD"/>
    <w:multiLevelType w:val="multilevel"/>
    <w:tmpl w:val="DD3C05A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hint="default"/>
        <w:b w:val="0"/>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82A5F1E"/>
    <w:multiLevelType w:val="multilevel"/>
    <w:tmpl w:val="8BEED33A"/>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nsid w:val="3E254581"/>
    <w:multiLevelType w:val="multilevel"/>
    <w:tmpl w:val="5AB8CCA8"/>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5D682BA9"/>
    <w:multiLevelType w:val="multilevel"/>
    <w:tmpl w:val="4C0861E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61665601"/>
    <w:multiLevelType w:val="hybridMultilevel"/>
    <w:tmpl w:val="64C65D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63C97087"/>
    <w:multiLevelType w:val="hybridMultilevel"/>
    <w:tmpl w:val="813413DA"/>
    <w:lvl w:ilvl="0" w:tplc="04090001">
      <w:start w:val="1"/>
      <w:numFmt w:val="bullet"/>
      <w:lvlText w:val=""/>
      <w:lvlJc w:val="left"/>
      <w:pPr>
        <w:tabs>
          <w:tab w:val="num" w:pos="502"/>
        </w:tabs>
        <w:ind w:left="502" w:hanging="360"/>
      </w:pPr>
      <w:rPr>
        <w:rFonts w:ascii="Symbol" w:hAnsi="Symbol" w:hint="default"/>
      </w:rPr>
    </w:lvl>
    <w:lvl w:ilvl="1" w:tplc="0409000F">
      <w:start w:val="1"/>
      <w:numFmt w:val="decimal"/>
      <w:lvlText w:val="%2."/>
      <w:lvlJc w:val="left"/>
      <w:pPr>
        <w:tabs>
          <w:tab w:val="num" w:pos="1222"/>
        </w:tabs>
        <w:ind w:left="1222" w:hanging="360"/>
      </w:pPr>
      <w:rPr>
        <w:rFonts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cs="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cs="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9">
    <w:nsid w:val="6DAD5537"/>
    <w:multiLevelType w:val="multilevel"/>
    <w:tmpl w:val="BC80353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5"/>
  </w:num>
  <w:num w:numId="3">
    <w:abstractNumId w:val="1"/>
  </w:num>
  <w:num w:numId="4">
    <w:abstractNumId w:val="2"/>
  </w:num>
  <w:num w:numId="5">
    <w:abstractNumId w:val="0"/>
  </w:num>
  <w:num w:numId="6">
    <w:abstractNumId w:val="6"/>
  </w:num>
  <w:num w:numId="7">
    <w:abstractNumId w:val="9"/>
  </w:num>
  <w:num w:numId="8">
    <w:abstractNumId w:val="3"/>
  </w:num>
  <w:num w:numId="9">
    <w:abstractNumId w:val="7"/>
  </w:num>
  <w:num w:numId="10">
    <w:abstractNumId w:val="4"/>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27650"/>
  </w:hdrShapeDefaults>
  <w:footnotePr>
    <w:footnote w:id="0"/>
    <w:footnote w:id="1"/>
  </w:footnotePr>
  <w:endnotePr>
    <w:endnote w:id="0"/>
    <w:endnote w:id="1"/>
  </w:endnotePr>
  <w:compat/>
  <w:rsids>
    <w:rsidRoot w:val="00A8114A"/>
    <w:rsid w:val="000B21D6"/>
    <w:rsid w:val="000C47D8"/>
    <w:rsid w:val="00132980"/>
    <w:rsid w:val="00154524"/>
    <w:rsid w:val="00156651"/>
    <w:rsid w:val="00197AE6"/>
    <w:rsid w:val="002C010F"/>
    <w:rsid w:val="00423340"/>
    <w:rsid w:val="004C28D1"/>
    <w:rsid w:val="0053616B"/>
    <w:rsid w:val="005B36B0"/>
    <w:rsid w:val="005B3C2D"/>
    <w:rsid w:val="005E410A"/>
    <w:rsid w:val="006A7BE0"/>
    <w:rsid w:val="00732799"/>
    <w:rsid w:val="00776434"/>
    <w:rsid w:val="007A619F"/>
    <w:rsid w:val="00880D5A"/>
    <w:rsid w:val="008C0DDA"/>
    <w:rsid w:val="00912661"/>
    <w:rsid w:val="0099615E"/>
    <w:rsid w:val="00A37357"/>
    <w:rsid w:val="00A5327E"/>
    <w:rsid w:val="00A679CC"/>
    <w:rsid w:val="00A8114A"/>
    <w:rsid w:val="00AA4792"/>
    <w:rsid w:val="00AC0049"/>
    <w:rsid w:val="00B961B0"/>
    <w:rsid w:val="00C06808"/>
    <w:rsid w:val="00C36895"/>
    <w:rsid w:val="00D023D6"/>
    <w:rsid w:val="00D409E2"/>
    <w:rsid w:val="00D571F0"/>
    <w:rsid w:val="00DB6B05"/>
    <w:rsid w:val="00DE2640"/>
    <w:rsid w:val="00DE57E1"/>
    <w:rsid w:val="00DF3933"/>
    <w:rsid w:val="00E42844"/>
    <w:rsid w:val="00F571D3"/>
    <w:rsid w:val="00F879E1"/>
    <w:rsid w:val="00F92092"/>
    <w:rsid w:val="00F945B8"/>
    <w:rsid w:val="00FA7D7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14A"/>
    <w:rPr>
      <w:rFonts w:ascii="Arial" w:eastAsia="Times New Roman" w:hAnsi="Arial"/>
      <w:lang w:val="en-GB" w:eastAsia="en-US"/>
    </w:rPr>
  </w:style>
  <w:style w:type="paragraph" w:styleId="Heading1">
    <w:name w:val="heading 1"/>
    <w:basedOn w:val="Normal"/>
    <w:next w:val="Normal"/>
    <w:link w:val="Heading1Char"/>
    <w:qFormat/>
    <w:rsid w:val="00FA7D7A"/>
    <w:pPr>
      <w:keepNext/>
      <w:jc w:val="center"/>
      <w:outlineLvl w:val="0"/>
    </w:pPr>
    <w:rPr>
      <w:rFonts w:ascii="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8114A"/>
    <w:pPr>
      <w:spacing w:before="240"/>
      <w:ind w:left="360"/>
      <w:jc w:val="both"/>
    </w:pPr>
    <w:rPr>
      <w:lang w:val="en-US"/>
    </w:rPr>
  </w:style>
  <w:style w:type="character" w:customStyle="1" w:styleId="BodyTextIndentChar">
    <w:name w:val="Body Text Indent Char"/>
    <w:basedOn w:val="DefaultParagraphFont"/>
    <w:link w:val="BodyTextIndent"/>
    <w:rsid w:val="00A8114A"/>
    <w:rPr>
      <w:rFonts w:ascii="Arial" w:eastAsia="Times New Roman" w:hAnsi="Arial" w:cs="Times New Roman"/>
      <w:sz w:val="20"/>
      <w:szCs w:val="20"/>
      <w:lang w:val="en-US"/>
    </w:rPr>
  </w:style>
  <w:style w:type="paragraph" w:styleId="BodyTextIndent3">
    <w:name w:val="Body Text Indent 3"/>
    <w:basedOn w:val="Normal"/>
    <w:link w:val="BodyTextIndent3Char"/>
    <w:rsid w:val="00A8114A"/>
    <w:pPr>
      <w:spacing w:before="240"/>
      <w:ind w:left="720"/>
      <w:jc w:val="both"/>
    </w:pPr>
    <w:rPr>
      <w:lang w:val="en-US"/>
    </w:rPr>
  </w:style>
  <w:style w:type="character" w:customStyle="1" w:styleId="BodyTextIndent3Char">
    <w:name w:val="Body Text Indent 3 Char"/>
    <w:basedOn w:val="DefaultParagraphFont"/>
    <w:link w:val="BodyTextIndent3"/>
    <w:rsid w:val="00A8114A"/>
    <w:rPr>
      <w:rFonts w:ascii="Arial" w:eastAsia="Times New Roman" w:hAnsi="Arial" w:cs="Times New Roman"/>
      <w:sz w:val="20"/>
      <w:szCs w:val="20"/>
      <w:lang w:val="en-US"/>
    </w:rPr>
  </w:style>
  <w:style w:type="paragraph" w:styleId="Title">
    <w:name w:val="Title"/>
    <w:basedOn w:val="Normal"/>
    <w:link w:val="TitleChar"/>
    <w:qFormat/>
    <w:rsid w:val="00A8114A"/>
    <w:pPr>
      <w:spacing w:before="240"/>
      <w:jc w:val="center"/>
    </w:pPr>
    <w:rPr>
      <w:b/>
      <w:sz w:val="24"/>
      <w:lang w:val="en-US"/>
    </w:rPr>
  </w:style>
  <w:style w:type="character" w:customStyle="1" w:styleId="TitleChar">
    <w:name w:val="Title Char"/>
    <w:basedOn w:val="DefaultParagraphFont"/>
    <w:link w:val="Title"/>
    <w:rsid w:val="00A8114A"/>
    <w:rPr>
      <w:rFonts w:ascii="Arial" w:eastAsia="Times New Roman" w:hAnsi="Arial" w:cs="Times New Roman"/>
      <w:b/>
      <w:sz w:val="24"/>
      <w:szCs w:val="20"/>
      <w:lang w:val="en-US"/>
    </w:rPr>
  </w:style>
  <w:style w:type="paragraph" w:styleId="Header">
    <w:name w:val="header"/>
    <w:basedOn w:val="Normal"/>
    <w:link w:val="HeaderChar"/>
    <w:rsid w:val="00A8114A"/>
    <w:pPr>
      <w:tabs>
        <w:tab w:val="center" w:pos="4320"/>
        <w:tab w:val="right" w:pos="8640"/>
      </w:tabs>
    </w:pPr>
  </w:style>
  <w:style w:type="character" w:customStyle="1" w:styleId="HeaderChar">
    <w:name w:val="Header Char"/>
    <w:basedOn w:val="DefaultParagraphFont"/>
    <w:link w:val="Header"/>
    <w:uiPriority w:val="99"/>
    <w:rsid w:val="00A8114A"/>
    <w:rPr>
      <w:rFonts w:ascii="Arial" w:eastAsia="Times New Roman" w:hAnsi="Arial" w:cs="Times New Roman"/>
      <w:sz w:val="20"/>
      <w:szCs w:val="20"/>
      <w:lang w:val="en-GB"/>
    </w:rPr>
  </w:style>
  <w:style w:type="paragraph" w:styleId="Footer">
    <w:name w:val="footer"/>
    <w:basedOn w:val="Normal"/>
    <w:link w:val="FooterChar"/>
    <w:uiPriority w:val="99"/>
    <w:rsid w:val="00A8114A"/>
    <w:pPr>
      <w:tabs>
        <w:tab w:val="center" w:pos="4320"/>
        <w:tab w:val="right" w:pos="8640"/>
      </w:tabs>
    </w:pPr>
  </w:style>
  <w:style w:type="character" w:customStyle="1" w:styleId="FooterChar">
    <w:name w:val="Footer Char"/>
    <w:basedOn w:val="DefaultParagraphFont"/>
    <w:link w:val="Footer"/>
    <w:uiPriority w:val="99"/>
    <w:rsid w:val="00A8114A"/>
    <w:rPr>
      <w:rFonts w:ascii="Arial" w:eastAsia="Times New Roman" w:hAnsi="Arial" w:cs="Times New Roman"/>
      <w:sz w:val="20"/>
      <w:szCs w:val="20"/>
      <w:lang w:val="en-GB"/>
    </w:rPr>
  </w:style>
  <w:style w:type="character" w:styleId="PageNumber">
    <w:name w:val="page number"/>
    <w:basedOn w:val="DefaultParagraphFont"/>
    <w:rsid w:val="00A8114A"/>
  </w:style>
  <w:style w:type="paragraph" w:styleId="Subtitle">
    <w:name w:val="Subtitle"/>
    <w:basedOn w:val="Normal"/>
    <w:link w:val="SubtitleChar"/>
    <w:qFormat/>
    <w:rsid w:val="00A8114A"/>
    <w:pPr>
      <w:jc w:val="center"/>
    </w:pPr>
    <w:rPr>
      <w:b/>
      <w:color w:val="000080"/>
      <w:sz w:val="40"/>
      <w:lang w:val="en-ZA"/>
    </w:rPr>
  </w:style>
  <w:style w:type="character" w:customStyle="1" w:styleId="SubtitleChar">
    <w:name w:val="Subtitle Char"/>
    <w:basedOn w:val="DefaultParagraphFont"/>
    <w:link w:val="Subtitle"/>
    <w:rsid w:val="00A8114A"/>
    <w:rPr>
      <w:rFonts w:ascii="Arial" w:eastAsia="Times New Roman" w:hAnsi="Arial" w:cs="Times New Roman"/>
      <w:b/>
      <w:color w:val="000080"/>
      <w:sz w:val="40"/>
      <w:szCs w:val="20"/>
    </w:rPr>
  </w:style>
  <w:style w:type="paragraph" w:styleId="NoSpacing">
    <w:name w:val="No Spacing"/>
    <w:link w:val="NoSpacingChar"/>
    <w:uiPriority w:val="1"/>
    <w:qFormat/>
    <w:rsid w:val="00A8114A"/>
    <w:rPr>
      <w:rFonts w:eastAsia="Times New Roman"/>
      <w:sz w:val="22"/>
      <w:szCs w:val="22"/>
      <w:lang w:val="en-US" w:eastAsia="en-US"/>
    </w:rPr>
  </w:style>
  <w:style w:type="character" w:customStyle="1" w:styleId="NoSpacingChar">
    <w:name w:val="No Spacing Char"/>
    <w:basedOn w:val="DefaultParagraphFont"/>
    <w:link w:val="NoSpacing"/>
    <w:uiPriority w:val="1"/>
    <w:rsid w:val="00A8114A"/>
    <w:rPr>
      <w:rFonts w:eastAsia="Times New Roman"/>
      <w:sz w:val="22"/>
      <w:szCs w:val="22"/>
      <w:lang w:val="en-US" w:eastAsia="en-US" w:bidi="ar-SA"/>
    </w:rPr>
  </w:style>
  <w:style w:type="paragraph" w:styleId="BalloonText">
    <w:name w:val="Balloon Text"/>
    <w:basedOn w:val="Normal"/>
    <w:link w:val="BalloonTextChar"/>
    <w:uiPriority w:val="99"/>
    <w:semiHidden/>
    <w:unhideWhenUsed/>
    <w:rsid w:val="00880D5A"/>
    <w:rPr>
      <w:rFonts w:ascii="Tahoma" w:hAnsi="Tahoma" w:cs="Tahoma"/>
      <w:sz w:val="16"/>
      <w:szCs w:val="16"/>
    </w:rPr>
  </w:style>
  <w:style w:type="character" w:customStyle="1" w:styleId="BalloonTextChar">
    <w:name w:val="Balloon Text Char"/>
    <w:basedOn w:val="DefaultParagraphFont"/>
    <w:link w:val="BalloonText"/>
    <w:uiPriority w:val="99"/>
    <w:semiHidden/>
    <w:rsid w:val="00880D5A"/>
    <w:rPr>
      <w:rFonts w:ascii="Tahoma" w:eastAsia="Times New Roman" w:hAnsi="Tahoma" w:cs="Tahoma"/>
      <w:sz w:val="16"/>
      <w:szCs w:val="16"/>
      <w:lang w:val="en-GB" w:eastAsia="en-US"/>
    </w:rPr>
  </w:style>
  <w:style w:type="paragraph" w:styleId="BodyText">
    <w:name w:val="Body Text"/>
    <w:basedOn w:val="Normal"/>
    <w:link w:val="BodyTextChar"/>
    <w:uiPriority w:val="99"/>
    <w:semiHidden/>
    <w:unhideWhenUsed/>
    <w:rsid w:val="00FA7D7A"/>
    <w:pPr>
      <w:spacing w:after="120"/>
    </w:pPr>
  </w:style>
  <w:style w:type="character" w:customStyle="1" w:styleId="BodyTextChar">
    <w:name w:val="Body Text Char"/>
    <w:basedOn w:val="DefaultParagraphFont"/>
    <w:link w:val="BodyText"/>
    <w:uiPriority w:val="99"/>
    <w:semiHidden/>
    <w:rsid w:val="00FA7D7A"/>
    <w:rPr>
      <w:rFonts w:ascii="Arial" w:eastAsia="Times New Roman" w:hAnsi="Arial"/>
      <w:lang w:val="en-GB" w:eastAsia="en-US"/>
    </w:rPr>
  </w:style>
  <w:style w:type="paragraph" w:styleId="BodyText2">
    <w:name w:val="Body Text 2"/>
    <w:basedOn w:val="Normal"/>
    <w:link w:val="BodyText2Char"/>
    <w:uiPriority w:val="99"/>
    <w:semiHidden/>
    <w:unhideWhenUsed/>
    <w:rsid w:val="00FA7D7A"/>
    <w:pPr>
      <w:spacing w:after="120" w:line="480" w:lineRule="auto"/>
    </w:pPr>
  </w:style>
  <w:style w:type="character" w:customStyle="1" w:styleId="BodyText2Char">
    <w:name w:val="Body Text 2 Char"/>
    <w:basedOn w:val="DefaultParagraphFont"/>
    <w:link w:val="BodyText2"/>
    <w:uiPriority w:val="99"/>
    <w:semiHidden/>
    <w:rsid w:val="00FA7D7A"/>
    <w:rPr>
      <w:rFonts w:ascii="Arial" w:eastAsia="Times New Roman" w:hAnsi="Arial"/>
      <w:lang w:val="en-GB" w:eastAsia="en-US"/>
    </w:rPr>
  </w:style>
  <w:style w:type="character" w:customStyle="1" w:styleId="Heading1Char">
    <w:name w:val="Heading 1 Char"/>
    <w:basedOn w:val="DefaultParagraphFont"/>
    <w:link w:val="Heading1"/>
    <w:rsid w:val="00FA7D7A"/>
    <w:rPr>
      <w:rFonts w:ascii="Times New Roman" w:eastAsia="Times New Roman" w:hAnsi="Times New Roman"/>
      <w:b/>
      <w:bCs/>
      <w:sz w:val="28"/>
      <w:szCs w:val="24"/>
      <w:lang w:val="en-GB" w:eastAsia="en-US"/>
    </w:rPr>
  </w:style>
  <w:style w:type="paragraph" w:styleId="TOC1">
    <w:name w:val="toc 1"/>
    <w:basedOn w:val="Normal"/>
    <w:next w:val="Normal"/>
    <w:autoRedefine/>
    <w:semiHidden/>
    <w:rsid w:val="00FA7D7A"/>
    <w:pPr>
      <w:spacing w:before="120"/>
      <w:jc w:val="both"/>
    </w:pPr>
    <w:rPr>
      <w:b/>
      <w:noProof/>
      <w:sz w:val="24"/>
      <w:lang w:val="en-ZA"/>
    </w:rPr>
  </w:style>
  <w:style w:type="paragraph" w:customStyle="1" w:styleId="NormalOut">
    <w:name w:val="Normal Out"/>
    <w:basedOn w:val="Normal"/>
    <w:rsid w:val="00FA7D7A"/>
    <w:pPr>
      <w:spacing w:line="336" w:lineRule="auto"/>
      <w:jc w:val="both"/>
    </w:pPr>
    <w:rPr>
      <w:rFonts w:ascii="Times New Roman" w:hAnsi="Times New Roman"/>
      <w:sz w:val="22"/>
    </w:rPr>
  </w:style>
  <w:style w:type="character" w:styleId="Hyperlink">
    <w:name w:val="Hyperlink"/>
    <w:basedOn w:val="DefaultParagraphFont"/>
    <w:semiHidden/>
    <w:rsid w:val="00FA7D7A"/>
    <w:rPr>
      <w:color w:val="0000FF"/>
      <w:u w:val="single"/>
    </w:rPr>
  </w:style>
  <w:style w:type="paragraph" w:styleId="ListParagraph">
    <w:name w:val="List Paragraph"/>
    <w:basedOn w:val="Normal"/>
    <w:uiPriority w:val="34"/>
    <w:qFormat/>
    <w:rsid w:val="005E410A"/>
    <w:pPr>
      <w:ind w:left="720"/>
      <w:contextualSpacing/>
    </w:pPr>
  </w:style>
</w:styles>
</file>

<file path=word/webSettings.xml><?xml version="1.0" encoding="utf-8"?>
<w:webSettings xmlns:r="http://schemas.openxmlformats.org/officeDocument/2006/relationships" xmlns:w="http://schemas.openxmlformats.org/wordprocessingml/2006/main">
  <w:divs>
    <w:div w:id="127043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C6FE4-448B-4058-A1A5-1456B14BA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1380</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Tondy Nkuna</dc:creator>
  <cp:lastModifiedBy>sibiyai</cp:lastModifiedBy>
  <cp:revision>2</cp:revision>
  <cp:lastPrinted>2012-05-18T14:00:00Z</cp:lastPrinted>
  <dcterms:created xsi:type="dcterms:W3CDTF">2013-05-14T06:33:00Z</dcterms:created>
  <dcterms:modified xsi:type="dcterms:W3CDTF">2013-05-14T06:33:00Z</dcterms:modified>
</cp:coreProperties>
</file>